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1C691F8" w:rsidR="0049405C" w:rsidRPr="00C24D79" w:rsidRDefault="00F70D91" w:rsidP="00F70D9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70D91">
              <w:rPr>
                <w:rFonts w:ascii="等线" w:eastAsia="等线" w:hAnsi="Times New Roman"/>
                <w:b/>
                <w:color w:val="000000"/>
                <w:sz w:val="48"/>
              </w:rPr>
              <w:t>YUAN CAO</w:t>
            </w:r>
            <w:bookmarkEnd w:id="0"/>
          </w:p>
          <w:p w14:paraId="706EB16B" w14:textId="79DAA983" w:rsidR="0049405C" w:rsidRPr="00C24D79" w:rsidRDefault="00F70D91" w:rsidP="00F70D9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70D91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70D9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70D91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4A5FF4C" w:rsidR="0049405C" w:rsidRPr="00C24D79" w:rsidRDefault="00F70D91" w:rsidP="00F70D9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70D91">
              <w:rPr>
                <w:rFonts w:ascii="等线" w:eastAsia="等线" w:hAnsi="Times New Roman"/>
                <w:color w:val="000000"/>
              </w:rPr>
              <w:t xml:space="preserve">+86 21 6263 5809 </w:t>
            </w:r>
            <w:bookmarkEnd w:id="3"/>
          </w:p>
          <w:p w14:paraId="4F910ACA" w14:textId="7F3FF86C" w:rsidR="0049405C" w:rsidRPr="00C24D79" w:rsidRDefault="00F70D91" w:rsidP="00F70D9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70D91">
              <w:rPr>
                <w:rFonts w:ascii="等线" w:eastAsia="等线" w:hAnsi="Times New Roman"/>
                <w:color w:val="000000"/>
              </w:rPr>
              <w:t>yuan.cao@fangdalaw.com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BF97679" w:rsidR="0049405C" w:rsidRPr="00C24D79" w:rsidRDefault="00F70D9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C42DB98" wp14:editId="4757B78B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42A4410" w:rsidR="009465FB" w:rsidRPr="00C24D79" w:rsidRDefault="00F70D9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70D91">
              <w:rPr>
                <w:rFonts w:ascii="等线" w:eastAsia="等线" w:hAnsi="Times New Roman"/>
                <w:color w:val="000000"/>
                <w:szCs w:val="21"/>
              </w:rPr>
              <w:t>MR. CAO SPECIALIZES IN CAPITAL MARKETS, INCLUDING PUBLIC M&amp;A, PUBLIC OFFERING,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27498D3" w14:textId="77777777" w:rsidR="00F70D9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22796B9" w14:textId="77777777" w:rsidR="00F70D91" w:rsidRDefault="00F70D91" w:rsidP="00F70D9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0D91">
        <w:rPr>
          <w:rFonts w:ascii="等线" w:eastAsia="等线" w:hAnsi="等线"/>
          <w:b/>
          <w:sz w:val="24"/>
        </w:rPr>
        <w:t>REPRESENTATIVE MATTERS AND CASES</w:t>
      </w:r>
    </w:p>
    <w:p w14:paraId="556FC1D7" w14:textId="77777777" w:rsidR="00F70D91" w:rsidRDefault="00F70D91" w:rsidP="00F70D91">
      <w:pPr>
        <w:pStyle w:val="af5"/>
        <w:spacing w:before="12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PUBLIC M&amp;A</w:t>
      </w:r>
    </w:p>
    <w:p w14:paraId="39C33198" w14:textId="77777777" w:rsidR="00F70D91" w:rsidRDefault="00F70D91" w:rsidP="00F70D9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Alibaba Group in its block trade or non-trade transfer business with respect to Suning.com (002024.SZ), STO Express (002468.SZ), Red Star Macalline (601828.SH/01528.HK), Lily &amp; Beauty (605136.SH), YTO Express (600233.SH), Easyhome (000785.SZ), TransInfo Technology (002373.SZ), Meinian Onehealth (002044.SZ), Focus Media (002027.SZ), Aiyong Technology (836858), Oriental Group (833374), and Huitongda Net (09878.HK)</w:t>
      </w:r>
    </w:p>
    <w:p w14:paraId="5EFB73B1" w14:textId="77777777" w:rsidR="00F70D91" w:rsidRDefault="00F70D91" w:rsidP="00F70D9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Boyu Capital in its strategic investment in and subsequent tender offer to Jinke Services (09666.HK, H-shares fully circulated)</w:t>
      </w:r>
    </w:p>
    <w:p w14:paraId="0B3870FF" w14:textId="77777777" w:rsidR="00F70D91" w:rsidRDefault="00F70D91" w:rsidP="00F70D9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Shanghai Industrial Holdings (00363.HK) in its investment in Canvest Env (01381.HK) through exchangeable bonds</w:t>
      </w:r>
    </w:p>
    <w:p w14:paraId="2DC08E03" w14:textId="77777777" w:rsidR="00F70D91" w:rsidRDefault="00F70D91" w:rsidP="00F70D9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Philips as a foreign investor in its strategic investment in B-Soft (300451.SZ)</w:t>
      </w:r>
    </w:p>
    <w:p w14:paraId="6993E73B" w14:textId="77777777" w:rsidR="00F70D91" w:rsidRDefault="00F70D91" w:rsidP="00F70D9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Shanghai Di</w:t>
      </w:r>
      <w:r w:rsidRPr="00F70D91">
        <w:rPr>
          <w:rFonts w:ascii="等线" w:eastAsia="等线" w:hAnsi="Times New Roman"/>
          <w:color w:val="000000"/>
        </w:rPr>
        <w:t>’</w:t>
      </w:r>
      <w:r w:rsidRPr="00F70D91">
        <w:rPr>
          <w:rFonts w:ascii="等线" w:eastAsia="等线" w:hAnsi="Times New Roman"/>
          <w:color w:val="000000"/>
        </w:rPr>
        <w:t>an in its acquisition of J-Yuan Trust (600816.SH)</w:t>
      </w:r>
    </w:p>
    <w:p w14:paraId="0D44D7E1" w14:textId="77777777" w:rsidR="00F70D91" w:rsidRDefault="00F70D91" w:rsidP="00F70D9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DCP Capital in its investment in Oriental Yuhong (002271.SZ) through private placement</w:t>
      </w:r>
    </w:p>
    <w:p w14:paraId="4DE8004F" w14:textId="77777777" w:rsidR="00F70D91" w:rsidRDefault="00F70D91" w:rsidP="00F70D9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Oriental Asset in its investments in several A-share listed companies</w:t>
      </w:r>
    </w:p>
    <w:p w14:paraId="3E207842" w14:textId="77777777" w:rsidR="00F70D91" w:rsidRDefault="00F70D91" w:rsidP="00F70D9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APP China Investment in its acquisition of Bohui Paper (600966.SH)</w:t>
      </w:r>
    </w:p>
    <w:p w14:paraId="3B2DBFE1" w14:textId="77777777" w:rsidR="00F70D91" w:rsidRDefault="00F70D91" w:rsidP="00F70D9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Kangda New Materials (002669.SZ) in its acquisition of Bikong Sci-Tech by share issue</w:t>
      </w:r>
    </w:p>
    <w:p w14:paraId="42A357E1" w14:textId="77777777" w:rsidR="00F70D91" w:rsidRDefault="00F70D91" w:rsidP="00F70D91">
      <w:pPr>
        <w:pStyle w:val="af5"/>
        <w:spacing w:before="12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PUBLIC OFFERING</w:t>
      </w:r>
    </w:p>
    <w:p w14:paraId="110FA72D" w14:textId="77777777" w:rsidR="00F70D91" w:rsidRDefault="00F70D91" w:rsidP="00F70D9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Representing Shanghai Advanced Silicon Technology in its A-share IPO</w:t>
      </w:r>
    </w:p>
    <w:p w14:paraId="6167103E" w14:textId="77777777" w:rsidR="00F70D91" w:rsidRDefault="00F70D91" w:rsidP="00F70D9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Trina Solar (688599.SH) in its A-share IPO</w:t>
      </w:r>
    </w:p>
    <w:p w14:paraId="15C0458C" w14:textId="77777777" w:rsidR="00F70D91" w:rsidRDefault="00F70D91" w:rsidP="00F70D9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Kanghui Pharmaceutical (603139.SH) in its A-share IPO</w:t>
      </w:r>
    </w:p>
    <w:p w14:paraId="59869CBF" w14:textId="77777777" w:rsidR="00F70D91" w:rsidRDefault="00F70D91" w:rsidP="00F70D9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Linglong Tyre (601966.SH) in its A-share IPO</w:t>
      </w:r>
    </w:p>
    <w:p w14:paraId="50CBA036" w14:textId="77777777" w:rsidR="00F70D91" w:rsidRDefault="00F70D91" w:rsidP="00F70D9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Fullhan Microelectronics (300613.SZ) in its A-share IPO</w:t>
      </w:r>
    </w:p>
    <w:p w14:paraId="58E1C1F5" w14:textId="77777777" w:rsidR="00F70D91" w:rsidRDefault="00F70D91" w:rsidP="00F70D9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Acted as counsel for the underwriter CICC in the A-share IPO of GalaxyCore (688728.SH)</w:t>
      </w:r>
    </w:p>
    <w:p w14:paraId="65E50AAD" w14:textId="77777777" w:rsidR="00F70D91" w:rsidRDefault="00F70D91" w:rsidP="00F70D9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Acted as PRC counsel for Jinshang Bank (02558.HK) in its H-share IPO</w:t>
      </w:r>
    </w:p>
    <w:p w14:paraId="6C1B68F9" w14:textId="77777777" w:rsidR="00F70D91" w:rsidRDefault="00F70D91" w:rsidP="00F70D9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Chinamerica Educational (839268) in its NEEQ listing and delisting</w:t>
      </w:r>
    </w:p>
    <w:p w14:paraId="6B8A259C" w14:textId="77777777" w:rsidR="00F70D91" w:rsidRDefault="00F70D91" w:rsidP="00F70D9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ZJTL Construction (870958) in its NEEQ listing</w:t>
      </w:r>
    </w:p>
    <w:p w14:paraId="029D1E72" w14:textId="77777777" w:rsidR="00F70D91" w:rsidRDefault="00F70D91" w:rsidP="00F70D9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Infraswin Energy (871504) in its NEEQ listing</w:t>
      </w:r>
    </w:p>
    <w:p w14:paraId="7619468C" w14:textId="77777777" w:rsidR="00F70D91" w:rsidRDefault="00F70D91" w:rsidP="00F70D91">
      <w:pPr>
        <w:pStyle w:val="af5"/>
        <w:spacing w:before="12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EQUITY INVESTMENT AND GENERAL CORPORATE MATTERS</w:t>
      </w:r>
    </w:p>
    <w:p w14:paraId="1DA70FE1" w14:textId="77777777" w:rsidR="00F70D91" w:rsidRDefault="00F70D91" w:rsidP="00F70D9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Boyu Capital, DCP Capital, Cathay Capital and Jifeng Ventures in their private equity investment projects</w:t>
      </w:r>
    </w:p>
    <w:p w14:paraId="4A7A91EC" w14:textId="77777777" w:rsidR="00F70D91" w:rsidRDefault="00F70D91" w:rsidP="00F70D9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Shanghai Advanced Silicon Technology, Puyi Biotechnology, Jinshang Bank, Yitu Technology and Xiuzheng Pharmaceutical in their equity financing projects</w:t>
      </w:r>
    </w:p>
    <w:p w14:paraId="1F3C8D3B" w14:textId="77777777" w:rsidR="00F70D91" w:rsidRDefault="00F70D91" w:rsidP="00F70D9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Alibaba (China) Network Technology in its split-off</w:t>
      </w:r>
    </w:p>
    <w:p w14:paraId="54C3DE81" w14:textId="77777777" w:rsidR="00F70D91" w:rsidRDefault="00F70D91" w:rsidP="00F70D9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Represented Shanxi Bank in the merger of five city commercial banks in Shanxi Province</w:t>
      </w:r>
    </w:p>
    <w:p w14:paraId="22298F1C" w14:textId="77777777" w:rsidR="00F70D91" w:rsidRDefault="00F70D91" w:rsidP="00F70D9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Provided post-investment legal service for Alibaba Group, Ant Group, and Boyu Capital</w:t>
      </w:r>
    </w:p>
    <w:p w14:paraId="4BFCAB2F" w14:textId="77777777" w:rsidR="00F70D91" w:rsidRDefault="00F70D91" w:rsidP="00F70D91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Provided general corporate legal service for Ant Group, Giti Tire, Shanghai Advanced Silicon Technology, Jin Jiang Online, CITIC Securities, Jinshang Bank, Trina Solar, Kanghui Pharmaceutical, HILE Bio-technology, Industrial Bank, Jinfu Technology, Chinamerica Educational, ZJTL Construction and Infraswin Energy</w:t>
      </w:r>
    </w:p>
    <w:p w14:paraId="63F0E76D" w14:textId="77777777" w:rsidR="00F70D91" w:rsidRDefault="00F70D91" w:rsidP="00F70D9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0D91">
        <w:rPr>
          <w:rFonts w:ascii="等线" w:eastAsia="等线" w:hAnsi="等线"/>
          <w:b/>
          <w:sz w:val="24"/>
        </w:rPr>
        <w:t>Education</w:t>
      </w:r>
    </w:p>
    <w:p w14:paraId="7B80897E" w14:textId="77777777" w:rsidR="00F70D91" w:rsidRDefault="00F70D91" w:rsidP="00F70D91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Fudan University, J.M.</w:t>
      </w:r>
    </w:p>
    <w:p w14:paraId="1E5FCC1A" w14:textId="77777777" w:rsidR="00F70D91" w:rsidRDefault="00F70D91" w:rsidP="00F70D91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Shanghai Jiao Tong University, B.A. in English and LL.B.(as second major)</w:t>
      </w:r>
    </w:p>
    <w:p w14:paraId="1F420B98" w14:textId="77777777" w:rsidR="00F70D91" w:rsidRDefault="00F70D91" w:rsidP="00F70D9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0D91">
        <w:rPr>
          <w:rFonts w:ascii="等线" w:eastAsia="等线" w:hAnsi="等线"/>
          <w:b/>
          <w:sz w:val="24"/>
        </w:rPr>
        <w:t>Professional Qualification</w:t>
      </w:r>
    </w:p>
    <w:p w14:paraId="3EDA0E6F" w14:textId="77777777" w:rsidR="00F70D91" w:rsidRDefault="00F70D91" w:rsidP="00F70D91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Admitted to practice in the PRC</w:t>
      </w:r>
    </w:p>
    <w:p w14:paraId="74E4154B" w14:textId="77777777" w:rsidR="00F70D91" w:rsidRDefault="00F70D91" w:rsidP="00F70D9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0D91">
        <w:rPr>
          <w:rFonts w:ascii="等线" w:eastAsia="等线" w:hAnsi="等线"/>
          <w:b/>
          <w:sz w:val="24"/>
        </w:rPr>
        <w:t>Professional Background</w:t>
      </w:r>
    </w:p>
    <w:p w14:paraId="5567FC3C" w14:textId="6D11CC8A" w:rsidR="00686369" w:rsidRPr="00F70D91" w:rsidRDefault="00F70D91" w:rsidP="00F70D91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0D91">
        <w:rPr>
          <w:rFonts w:ascii="等线" w:eastAsia="等线" w:hAnsi="Times New Roman"/>
          <w:color w:val="000000"/>
        </w:rPr>
        <w:t>Mr. Cao joined Fangda in 2020. Before this, he worked at King &amp; Wood Mallesons.</w:t>
      </w:r>
    </w:p>
    <w:sectPr w:rsidR="00686369" w:rsidRPr="00F70D9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C7B"/>
    <w:multiLevelType w:val="singleLevel"/>
    <w:tmpl w:val="6CBE49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ED32E1"/>
    <w:multiLevelType w:val="singleLevel"/>
    <w:tmpl w:val="0868D4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816B1D"/>
    <w:multiLevelType w:val="singleLevel"/>
    <w:tmpl w:val="C576F3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6A35FB"/>
    <w:multiLevelType w:val="singleLevel"/>
    <w:tmpl w:val="61B499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997045"/>
    <w:multiLevelType w:val="singleLevel"/>
    <w:tmpl w:val="61B039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F1D0F78"/>
    <w:multiLevelType w:val="singleLevel"/>
    <w:tmpl w:val="9C7836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F8B0826"/>
    <w:multiLevelType w:val="singleLevel"/>
    <w:tmpl w:val="4BDA65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2876939"/>
    <w:multiLevelType w:val="singleLevel"/>
    <w:tmpl w:val="949251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5DD6A67"/>
    <w:multiLevelType w:val="singleLevel"/>
    <w:tmpl w:val="BDBEDA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88424C7"/>
    <w:multiLevelType w:val="singleLevel"/>
    <w:tmpl w:val="5AD28A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EAF5B8C"/>
    <w:multiLevelType w:val="singleLevel"/>
    <w:tmpl w:val="3CAE43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F7F0FF0"/>
    <w:multiLevelType w:val="singleLevel"/>
    <w:tmpl w:val="32A689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26122F2"/>
    <w:multiLevelType w:val="singleLevel"/>
    <w:tmpl w:val="B30A20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737310E"/>
    <w:multiLevelType w:val="singleLevel"/>
    <w:tmpl w:val="C41609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DA435F2"/>
    <w:multiLevelType w:val="singleLevel"/>
    <w:tmpl w:val="BDBEDA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22A318F"/>
    <w:multiLevelType w:val="singleLevel"/>
    <w:tmpl w:val="24F07F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BE2199C"/>
    <w:multiLevelType w:val="singleLevel"/>
    <w:tmpl w:val="6EBC7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F1B2D35"/>
    <w:multiLevelType w:val="singleLevel"/>
    <w:tmpl w:val="D5CA2F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0FC4F43"/>
    <w:multiLevelType w:val="singleLevel"/>
    <w:tmpl w:val="8D2A2F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CB04096"/>
    <w:multiLevelType w:val="singleLevel"/>
    <w:tmpl w:val="EED867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34B3801"/>
    <w:multiLevelType w:val="singleLevel"/>
    <w:tmpl w:val="7ACC77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58B0C4B"/>
    <w:multiLevelType w:val="singleLevel"/>
    <w:tmpl w:val="F7CE2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F9D64D2"/>
    <w:multiLevelType w:val="singleLevel"/>
    <w:tmpl w:val="23746C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36559BC"/>
    <w:multiLevelType w:val="singleLevel"/>
    <w:tmpl w:val="2370CB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39D52E1"/>
    <w:multiLevelType w:val="singleLevel"/>
    <w:tmpl w:val="308A95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4803CD3"/>
    <w:multiLevelType w:val="singleLevel"/>
    <w:tmpl w:val="841A77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0CC0C08"/>
    <w:multiLevelType w:val="singleLevel"/>
    <w:tmpl w:val="3A5658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C4410E2"/>
    <w:multiLevelType w:val="singleLevel"/>
    <w:tmpl w:val="0E88EB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D9A487F"/>
    <w:multiLevelType w:val="singleLevel"/>
    <w:tmpl w:val="8A126D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E64156A"/>
    <w:multiLevelType w:val="singleLevel"/>
    <w:tmpl w:val="976ECD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17"/>
  </w:num>
  <w:num w:numId="3">
    <w:abstractNumId w:val="25"/>
  </w:num>
  <w:num w:numId="4">
    <w:abstractNumId w:val="30"/>
  </w:num>
  <w:num w:numId="5">
    <w:abstractNumId w:val="12"/>
  </w:num>
  <w:num w:numId="6">
    <w:abstractNumId w:val="26"/>
  </w:num>
  <w:num w:numId="7">
    <w:abstractNumId w:val="19"/>
  </w:num>
  <w:num w:numId="8">
    <w:abstractNumId w:val="28"/>
  </w:num>
  <w:num w:numId="9">
    <w:abstractNumId w:val="1"/>
  </w:num>
  <w:num w:numId="10">
    <w:abstractNumId w:val="24"/>
  </w:num>
  <w:num w:numId="11">
    <w:abstractNumId w:val="11"/>
  </w:num>
  <w:num w:numId="12">
    <w:abstractNumId w:val="18"/>
  </w:num>
  <w:num w:numId="13">
    <w:abstractNumId w:val="2"/>
  </w:num>
  <w:num w:numId="14">
    <w:abstractNumId w:val="22"/>
  </w:num>
  <w:num w:numId="15">
    <w:abstractNumId w:val="23"/>
  </w:num>
  <w:num w:numId="16">
    <w:abstractNumId w:val="4"/>
  </w:num>
  <w:num w:numId="17">
    <w:abstractNumId w:val="0"/>
  </w:num>
  <w:num w:numId="18">
    <w:abstractNumId w:val="5"/>
  </w:num>
  <w:num w:numId="19">
    <w:abstractNumId w:val="31"/>
  </w:num>
  <w:num w:numId="20">
    <w:abstractNumId w:val="6"/>
  </w:num>
  <w:num w:numId="21">
    <w:abstractNumId w:val="13"/>
  </w:num>
  <w:num w:numId="22">
    <w:abstractNumId w:val="10"/>
  </w:num>
  <w:num w:numId="23">
    <w:abstractNumId w:val="3"/>
  </w:num>
  <w:num w:numId="24">
    <w:abstractNumId w:val="7"/>
  </w:num>
  <w:num w:numId="25">
    <w:abstractNumId w:val="16"/>
  </w:num>
  <w:num w:numId="26">
    <w:abstractNumId w:val="29"/>
  </w:num>
  <w:num w:numId="27">
    <w:abstractNumId w:val="9"/>
  </w:num>
  <w:num w:numId="28">
    <w:abstractNumId w:val="21"/>
  </w:num>
  <w:num w:numId="29">
    <w:abstractNumId w:val="20"/>
  </w:num>
  <w:num w:numId="30">
    <w:abstractNumId w:val="27"/>
  </w:num>
  <w:num w:numId="31">
    <w:abstractNumId w:val="14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70D91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70D9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70D9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D7BA92B-BA31-400B-9808-2F4A2591A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494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2026-09-18T02:15:00Z</dcterms:created>
  <dcterms:modified xsi:type="dcterms:W3CDTF">2026-09-18T02:15:00Z</dcterms:modified>
</cp:coreProperties>
</file>