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A67C94D" w:rsidR="0049405C" w:rsidRPr="00C24D79" w:rsidRDefault="00A90745" w:rsidP="00A90745">
            <w:pPr>
              <w:spacing w:line="720" w:lineRule="auto"/>
              <w:rPr>
                <w:rFonts w:eastAsiaTheme="minorHAnsi"/>
                <w:color w:val="545551"/>
              </w:rPr>
            </w:pPr>
            <w:bookmarkStart w:id="0" w:name="xingming"/>
            <w:bookmarkStart w:id="1" w:name="_GoBack"/>
            <w:bookmarkEnd w:id="1"/>
            <w:r w:rsidRPr="00A90745">
              <w:rPr>
                <w:rFonts w:ascii="等线" w:eastAsia="等线" w:hAnsi="Times New Roman"/>
                <w:b/>
                <w:color w:val="000000"/>
                <w:sz w:val="48"/>
              </w:rPr>
              <w:t>DANAE WU</w:t>
            </w:r>
            <w:bookmarkEnd w:id="0"/>
          </w:p>
          <w:p w14:paraId="706EB16B" w14:textId="3AA254E2" w:rsidR="0049405C" w:rsidRPr="00C24D79" w:rsidRDefault="00A90745" w:rsidP="00A90745">
            <w:pPr>
              <w:spacing w:line="360" w:lineRule="auto"/>
              <w:rPr>
                <w:rFonts w:eastAsiaTheme="minorHAnsi"/>
                <w:b/>
                <w:bCs/>
                <w:color w:val="545551"/>
              </w:rPr>
            </w:pPr>
            <w:bookmarkStart w:id="2" w:name="didian"/>
            <w:r w:rsidRPr="00A90745">
              <w:rPr>
                <w:rFonts w:ascii="等线" w:eastAsia="等线" w:hAnsi="Times New Roman"/>
                <w:b/>
                <w:bCs/>
                <w:color w:val="000000"/>
              </w:rPr>
              <w:t>Counsel</w:t>
            </w:r>
            <w:r w:rsidRPr="00A90745">
              <w:rPr>
                <w:rFonts w:ascii="等线" w:eastAsia="等线" w:hAnsi="Times New Roman"/>
                <w:b/>
                <w:bCs/>
                <w:color w:val="000000"/>
              </w:rPr>
              <w:t>·</w:t>
            </w:r>
            <w:r w:rsidRPr="00A90745">
              <w:rPr>
                <w:rFonts w:ascii="等线" w:eastAsia="等线" w:hAnsi="Times New Roman"/>
                <w:b/>
                <w:bCs/>
                <w:color w:val="000000"/>
              </w:rPr>
              <w:t>Beijing</w:t>
            </w:r>
            <w:bookmarkEnd w:id="2"/>
          </w:p>
          <w:p w14:paraId="6199424A" w14:textId="009F27A4" w:rsidR="0049405C" w:rsidRPr="00C24D79" w:rsidRDefault="00A90745" w:rsidP="00A90745">
            <w:pPr>
              <w:spacing w:line="360" w:lineRule="auto"/>
              <w:rPr>
                <w:rFonts w:eastAsiaTheme="minorHAnsi"/>
                <w:color w:val="545551"/>
              </w:rPr>
            </w:pPr>
            <w:bookmarkStart w:id="3" w:name="dianhua"/>
            <w:r w:rsidRPr="00A90745">
              <w:rPr>
                <w:rFonts w:ascii="等线" w:eastAsia="等线" w:hAnsi="Times New Roman"/>
                <w:color w:val="000000"/>
              </w:rPr>
              <w:t xml:space="preserve">+86 10 5769 5791 </w:t>
            </w:r>
            <w:bookmarkEnd w:id="3"/>
          </w:p>
          <w:p w14:paraId="4F910ACA" w14:textId="74C06144" w:rsidR="0049405C" w:rsidRPr="00C24D79" w:rsidRDefault="00A90745" w:rsidP="00A90745">
            <w:pPr>
              <w:spacing w:line="360" w:lineRule="auto"/>
              <w:rPr>
                <w:rFonts w:eastAsiaTheme="minorHAnsi"/>
                <w:color w:val="000000"/>
              </w:rPr>
            </w:pPr>
            <w:bookmarkStart w:id="4" w:name="youxiang"/>
            <w:r w:rsidRPr="00A90745">
              <w:rPr>
                <w:rFonts w:ascii="等线" w:eastAsia="等线" w:hAnsi="Times New Roman"/>
                <w:color w:val="000000"/>
              </w:rPr>
              <w:t>danae.wu@fangdalaw.com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F88E48A" w:rsidR="0049405C" w:rsidRPr="00C24D79" w:rsidRDefault="00A9074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1B44ECA" wp14:editId="4D4BADBD">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36071BB" w:rsidR="009465FB" w:rsidRPr="00C24D79" w:rsidRDefault="00A90745" w:rsidP="007177F3">
            <w:pPr>
              <w:rPr>
                <w:rFonts w:eastAsiaTheme="minorHAnsi"/>
                <w:color w:val="000000"/>
                <w:szCs w:val="21"/>
              </w:rPr>
            </w:pPr>
            <w:bookmarkStart w:id="6" w:name="zhiyelingyu"/>
            <w:r w:rsidRPr="00A90745">
              <w:rPr>
                <w:rFonts w:ascii="等线" w:eastAsia="等线" w:hAnsi="Times New Roman"/>
                <w:color w:val="000000"/>
                <w:szCs w:val="21"/>
              </w:rPr>
              <w:t>MS. WU</w:t>
            </w:r>
            <w:r w:rsidRPr="00A90745">
              <w:rPr>
                <w:rFonts w:ascii="等线" w:eastAsia="等线" w:hAnsi="Times New Roman"/>
                <w:color w:val="000000"/>
                <w:szCs w:val="21"/>
              </w:rPr>
              <w:t>’</w:t>
            </w:r>
            <w:r w:rsidRPr="00A90745">
              <w:rPr>
                <w:rFonts w:ascii="等线" w:eastAsia="等线" w:hAnsi="Times New Roman"/>
                <w:color w:val="000000"/>
                <w:szCs w:val="21"/>
              </w:rPr>
              <w:t xml:space="preserve">S PRIMARY PRACTICE AREAS COVER INTELLECTUAL PROPERTY-RELATED LITIGATION, LICENSING AND TRANSACTIONS.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B0B0B48" w14:textId="77777777" w:rsidR="00A9074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872F04B" w14:textId="77777777" w:rsidR="00A90745" w:rsidRDefault="00A90745" w:rsidP="00A90745">
      <w:pPr>
        <w:pStyle w:val="af5"/>
        <w:spacing w:before="120"/>
        <w:rPr>
          <w:rFonts w:ascii="等线" w:eastAsia="等线" w:hAnsi="Times New Roman"/>
          <w:color w:val="000000"/>
        </w:rPr>
      </w:pPr>
      <w:r w:rsidRPr="00A90745">
        <w:rPr>
          <w:rFonts w:ascii="等线" w:eastAsia="等线" w:hAnsi="Times New Roman"/>
          <w:color w:val="000000"/>
        </w:rPr>
        <w:t>Ms. Wu has extensive experience in handling complex litigation and legal matters. Ms. Wu cooperates with leading companies in a wide range of industries, including semiconductors, new energy, telecommunications, chemical engineering, pharmaceuticals, medical instruments, manufacturing, fashion, sports and consumer products.</w:t>
      </w:r>
    </w:p>
    <w:p w14:paraId="720EFCFD" w14:textId="77777777" w:rsidR="00A90745" w:rsidRDefault="00A90745" w:rsidP="00A90745">
      <w:pPr>
        <w:pStyle w:val="af5"/>
        <w:spacing w:after="0" w:line="480" w:lineRule="auto"/>
        <w:rPr>
          <w:rFonts w:ascii="等线" w:eastAsia="等线" w:hAnsi="等线"/>
          <w:b/>
          <w:sz w:val="24"/>
        </w:rPr>
      </w:pPr>
      <w:r w:rsidRPr="00A90745">
        <w:rPr>
          <w:rFonts w:ascii="等线" w:eastAsia="等线" w:hAnsi="等线"/>
          <w:b/>
          <w:sz w:val="24"/>
        </w:rPr>
        <w:t>REPRESENTATIVE MATTERS AND CASES</w:t>
      </w:r>
    </w:p>
    <w:p w14:paraId="48E69D6F" w14:textId="77777777" w:rsidR="00A90745" w:rsidRDefault="00A90745" w:rsidP="00A90745">
      <w:pPr>
        <w:pStyle w:val="af5"/>
        <w:spacing w:before="120"/>
        <w:rPr>
          <w:rFonts w:ascii="等线" w:eastAsia="等线" w:hAnsi="Times New Roman"/>
          <w:color w:val="000000"/>
        </w:rPr>
      </w:pPr>
      <w:r w:rsidRPr="00A90745">
        <w:rPr>
          <w:rFonts w:ascii="等线" w:eastAsia="等线" w:hAnsi="Times New Roman"/>
          <w:color w:val="000000"/>
        </w:rPr>
        <w:t>Litigation</w:t>
      </w:r>
    </w:p>
    <w:p w14:paraId="361F52A8" w14:textId="77777777" w:rsidR="00A90745" w:rsidRDefault="00A90745" w:rsidP="00A90745">
      <w:pPr>
        <w:pStyle w:val="af5"/>
        <w:numPr>
          <w:ilvl w:val="0"/>
          <w:numId w:val="4"/>
        </w:numPr>
        <w:spacing w:before="120"/>
        <w:ind w:left="690" w:hanging="240"/>
        <w:rPr>
          <w:rFonts w:ascii="等线" w:eastAsia="等线" w:hAnsi="Times New Roman"/>
          <w:color w:val="000000"/>
        </w:rPr>
      </w:pPr>
      <w:r w:rsidRPr="00A90745">
        <w:rPr>
          <w:rFonts w:ascii="等线" w:eastAsia="等线" w:hAnsi="Times New Roman"/>
          <w:color w:val="000000"/>
        </w:rPr>
        <w:t>Obtained favorable results for a world-leading machinery company in multiple chemical engineering trade secret misappropriation and patent invalidation cases before the Supreme Court, the Jiangsu High Court, the Nanjing Intermediate Court and CNIPA</w:t>
      </w:r>
    </w:p>
    <w:p w14:paraId="0E798A41" w14:textId="77777777" w:rsidR="00A90745" w:rsidRDefault="00A90745" w:rsidP="00A90745">
      <w:pPr>
        <w:pStyle w:val="af5"/>
        <w:numPr>
          <w:ilvl w:val="0"/>
          <w:numId w:val="5"/>
        </w:numPr>
        <w:spacing w:before="120"/>
        <w:ind w:left="690" w:hanging="240"/>
        <w:rPr>
          <w:rFonts w:ascii="等线" w:eastAsia="等线" w:hAnsi="Times New Roman"/>
          <w:color w:val="000000"/>
        </w:rPr>
      </w:pPr>
      <w:r w:rsidRPr="00A90745">
        <w:rPr>
          <w:rFonts w:ascii="等线" w:eastAsia="等线" w:hAnsi="Times New Roman"/>
          <w:color w:val="000000"/>
        </w:rPr>
        <w:t>Acted for Semiconductor Energy Laboratory in reaching settlements in multiple patent infringement cases against a world-leading semiconductor manufacturer</w:t>
      </w:r>
    </w:p>
    <w:p w14:paraId="4FC705D6" w14:textId="77777777" w:rsidR="00A90745" w:rsidRDefault="00A90745" w:rsidP="00A90745">
      <w:pPr>
        <w:pStyle w:val="af5"/>
        <w:numPr>
          <w:ilvl w:val="0"/>
          <w:numId w:val="6"/>
        </w:numPr>
        <w:spacing w:before="120"/>
        <w:ind w:left="690" w:hanging="240"/>
        <w:rPr>
          <w:rFonts w:ascii="等线" w:eastAsia="等线" w:hAnsi="Times New Roman"/>
          <w:color w:val="000000"/>
        </w:rPr>
      </w:pPr>
      <w:r w:rsidRPr="00A90745">
        <w:rPr>
          <w:rFonts w:ascii="等线" w:eastAsia="等线" w:hAnsi="Times New Roman"/>
          <w:color w:val="000000"/>
        </w:rPr>
        <w:t>Acting for a leading global petrochemical company against its former collaborator and other infringement companies in China for trade secret misappropriation</w:t>
      </w:r>
    </w:p>
    <w:p w14:paraId="4C65FABC" w14:textId="77777777" w:rsidR="00A90745" w:rsidRDefault="00A90745" w:rsidP="00A90745">
      <w:pPr>
        <w:pStyle w:val="af5"/>
        <w:numPr>
          <w:ilvl w:val="0"/>
          <w:numId w:val="7"/>
        </w:numPr>
        <w:spacing w:before="120"/>
        <w:ind w:left="690" w:hanging="240"/>
        <w:rPr>
          <w:rFonts w:ascii="等线" w:eastAsia="等线" w:hAnsi="Times New Roman"/>
          <w:color w:val="000000"/>
        </w:rPr>
      </w:pPr>
      <w:r w:rsidRPr="00A90745">
        <w:rPr>
          <w:rFonts w:ascii="等线" w:eastAsia="等线" w:hAnsi="Times New Roman"/>
          <w:color w:val="000000"/>
        </w:rPr>
        <w:t>Acted for Pfizer in a software infringement case before the Supreme Court and the Beijing IP Court</w:t>
      </w:r>
    </w:p>
    <w:p w14:paraId="177A19C7" w14:textId="77777777" w:rsidR="00A90745" w:rsidRDefault="00A90745" w:rsidP="00A90745">
      <w:pPr>
        <w:pStyle w:val="af5"/>
        <w:numPr>
          <w:ilvl w:val="0"/>
          <w:numId w:val="8"/>
        </w:numPr>
        <w:spacing w:before="120"/>
        <w:ind w:left="690" w:hanging="240"/>
        <w:rPr>
          <w:rFonts w:ascii="等线" w:eastAsia="等线" w:hAnsi="Times New Roman"/>
          <w:color w:val="000000"/>
        </w:rPr>
      </w:pPr>
      <w:r w:rsidRPr="00A90745">
        <w:rPr>
          <w:rFonts w:ascii="等线" w:eastAsia="等线" w:hAnsi="Times New Roman"/>
          <w:color w:val="000000"/>
        </w:rPr>
        <w:t>Represented Kennametal, Sandvik, Ralph Lauren, Dealer Tire, VMware, Crane, Haitian, Ruby, and other well-known US, European and Chinese companies in complex matters involving unfair-competition, trademark infringement, copyright infringement and trademark administration, variously subject to procuratorial supervision, court litigation, and CNIPA proceedings in Beijing, Shanghai, Guangdong and Zhejiang</w:t>
      </w:r>
    </w:p>
    <w:p w14:paraId="3DE510C4" w14:textId="77777777" w:rsidR="00A90745" w:rsidRDefault="00A90745" w:rsidP="00A90745">
      <w:pPr>
        <w:pStyle w:val="af5"/>
        <w:numPr>
          <w:ilvl w:val="0"/>
          <w:numId w:val="9"/>
        </w:numPr>
        <w:spacing w:before="120"/>
        <w:ind w:left="690" w:hanging="240"/>
        <w:rPr>
          <w:rFonts w:ascii="等线" w:eastAsia="等线" w:hAnsi="Times New Roman"/>
          <w:color w:val="000000"/>
        </w:rPr>
      </w:pPr>
      <w:r w:rsidRPr="00A90745">
        <w:rPr>
          <w:rFonts w:ascii="等线" w:eastAsia="等线" w:hAnsi="Times New Roman"/>
          <w:color w:val="000000"/>
        </w:rPr>
        <w:t>Acting for several world-leading companies in multiple patent infringement and patent invalidation cases against their competitors, including companies specialized in display panel, refrigeration components, single-cell sequencing, and ophthalmic medical equipment and instruments</w:t>
      </w:r>
    </w:p>
    <w:p w14:paraId="7034C1FF" w14:textId="77777777" w:rsidR="00A90745" w:rsidRDefault="00A90745" w:rsidP="00A90745">
      <w:pPr>
        <w:pStyle w:val="af5"/>
        <w:spacing w:before="120"/>
        <w:rPr>
          <w:rFonts w:ascii="等线" w:eastAsia="等线" w:hAnsi="Times New Roman"/>
          <w:color w:val="000000"/>
        </w:rPr>
      </w:pPr>
      <w:r w:rsidRPr="00A90745">
        <w:rPr>
          <w:rFonts w:ascii="等线" w:eastAsia="等线" w:hAnsi="Times New Roman"/>
          <w:color w:val="000000"/>
        </w:rPr>
        <w:t>Non-Litigation</w:t>
      </w:r>
    </w:p>
    <w:p w14:paraId="7B900750" w14:textId="77777777" w:rsidR="00A90745" w:rsidRDefault="00A90745" w:rsidP="00A90745">
      <w:pPr>
        <w:pStyle w:val="af5"/>
        <w:numPr>
          <w:ilvl w:val="0"/>
          <w:numId w:val="10"/>
        </w:numPr>
        <w:spacing w:before="120"/>
        <w:ind w:left="690" w:hanging="240"/>
        <w:rPr>
          <w:rFonts w:ascii="等线" w:eastAsia="等线" w:hAnsi="Times New Roman"/>
          <w:color w:val="000000"/>
        </w:rPr>
      </w:pPr>
      <w:r w:rsidRPr="00A90745">
        <w:rPr>
          <w:rFonts w:ascii="等线" w:eastAsia="等线" w:hAnsi="Times New Roman"/>
          <w:color w:val="000000"/>
        </w:rPr>
        <w:t>Advising a smart phone company in negotiation with patentees for licensing telecommunications and audio &amp; video coding standards</w:t>
      </w:r>
    </w:p>
    <w:p w14:paraId="35A3E9A7" w14:textId="77777777" w:rsidR="00A90745" w:rsidRDefault="00A90745" w:rsidP="00A90745">
      <w:pPr>
        <w:pStyle w:val="af5"/>
        <w:numPr>
          <w:ilvl w:val="0"/>
          <w:numId w:val="11"/>
        </w:numPr>
        <w:spacing w:before="120"/>
        <w:ind w:left="690" w:hanging="240"/>
        <w:rPr>
          <w:rFonts w:ascii="等线" w:eastAsia="等线" w:hAnsi="Times New Roman"/>
          <w:color w:val="000000"/>
        </w:rPr>
      </w:pPr>
      <w:r w:rsidRPr="00A90745">
        <w:rPr>
          <w:rFonts w:ascii="等线" w:eastAsia="等线" w:hAnsi="Times New Roman"/>
          <w:color w:val="000000"/>
        </w:rPr>
        <w:t>Represented a Swiss company in an investigation by the State General Administration of Sports into potential safety issues in certain sport air guns</w:t>
      </w:r>
    </w:p>
    <w:p w14:paraId="78FD1E3E" w14:textId="77777777" w:rsidR="00A90745" w:rsidRDefault="00A90745" w:rsidP="00A90745">
      <w:pPr>
        <w:pStyle w:val="af5"/>
        <w:numPr>
          <w:ilvl w:val="0"/>
          <w:numId w:val="12"/>
        </w:numPr>
        <w:spacing w:before="120"/>
        <w:ind w:left="690" w:hanging="240"/>
        <w:rPr>
          <w:rFonts w:ascii="等线" w:eastAsia="等线" w:hAnsi="Times New Roman"/>
          <w:color w:val="000000"/>
        </w:rPr>
      </w:pPr>
      <w:r w:rsidRPr="00A90745">
        <w:rPr>
          <w:rFonts w:ascii="等线" w:eastAsia="等线" w:hAnsi="Times New Roman"/>
          <w:color w:val="000000"/>
        </w:rPr>
        <w:t>Advised Starbucks, Philips, TSMC, Takeda, Maersk, Japan Tobacco, VMware, Metso, Biogen, Honeywell, Shein, CICC, WuXi AppTec, Xtalpi, NIO, Xpeedic, Yangtze Memory, HTA, Edigene, CVTE, DRA, CDH Investments, and multiple foreign and domestic companies in the drug, petrochemical, semiconductor, manufacturing and consumer products industries on intellectual property-related matters</w:t>
      </w:r>
    </w:p>
    <w:p w14:paraId="1E35B697" w14:textId="77777777" w:rsidR="00A90745" w:rsidRDefault="00A90745" w:rsidP="00A90745">
      <w:pPr>
        <w:pStyle w:val="af5"/>
        <w:numPr>
          <w:ilvl w:val="0"/>
          <w:numId w:val="13"/>
        </w:numPr>
        <w:spacing w:before="120"/>
        <w:ind w:left="690" w:hanging="240"/>
        <w:rPr>
          <w:rFonts w:ascii="等线" w:eastAsia="等线" w:hAnsi="Times New Roman"/>
          <w:color w:val="000000"/>
        </w:rPr>
      </w:pPr>
      <w:r w:rsidRPr="00A90745">
        <w:rPr>
          <w:rFonts w:ascii="等线" w:eastAsia="等线" w:hAnsi="Times New Roman"/>
          <w:color w:val="000000"/>
        </w:rPr>
        <w:t>Advised L Catterton on its equity investment in Lotus and provided intellectual property due diligence report</w:t>
      </w:r>
    </w:p>
    <w:p w14:paraId="321C9E4F" w14:textId="77777777" w:rsidR="00A90745" w:rsidRDefault="00A90745" w:rsidP="00A90745">
      <w:pPr>
        <w:pStyle w:val="af5"/>
        <w:numPr>
          <w:ilvl w:val="0"/>
          <w:numId w:val="14"/>
        </w:numPr>
        <w:spacing w:before="120"/>
        <w:ind w:left="690" w:hanging="240"/>
        <w:rPr>
          <w:rFonts w:ascii="等线" w:eastAsia="等线" w:hAnsi="Times New Roman"/>
          <w:color w:val="000000"/>
        </w:rPr>
      </w:pPr>
      <w:r w:rsidRPr="00A90745">
        <w:rPr>
          <w:rFonts w:ascii="等线" w:eastAsia="等线" w:hAnsi="Times New Roman"/>
          <w:color w:val="000000"/>
        </w:rPr>
        <w:t>Advised various investors and companies including CITIC Capital, Ant Group, China Mobile, CSRF, Sanofi, AstraZeneca on potential transactions in the healthcare, biotechnology, electronics and manufacturing industries and provided IP due diligence report on target companies</w:t>
      </w:r>
    </w:p>
    <w:p w14:paraId="6FA3F9BE" w14:textId="77777777" w:rsidR="00A90745" w:rsidRDefault="00A90745" w:rsidP="00A90745">
      <w:pPr>
        <w:pStyle w:val="af5"/>
        <w:spacing w:after="0" w:line="480" w:lineRule="auto"/>
        <w:rPr>
          <w:rFonts w:ascii="等线" w:eastAsia="等线" w:hAnsi="等线"/>
          <w:b/>
          <w:sz w:val="24"/>
        </w:rPr>
      </w:pPr>
      <w:r w:rsidRPr="00A90745">
        <w:rPr>
          <w:rFonts w:ascii="等线" w:eastAsia="等线" w:hAnsi="等线"/>
          <w:b/>
          <w:sz w:val="24"/>
        </w:rPr>
        <w:t>Education</w:t>
      </w:r>
    </w:p>
    <w:p w14:paraId="3D3ECE67" w14:textId="77777777" w:rsidR="00A90745" w:rsidRDefault="00A90745" w:rsidP="00A90745">
      <w:pPr>
        <w:pStyle w:val="af5"/>
        <w:numPr>
          <w:ilvl w:val="0"/>
          <w:numId w:val="15"/>
        </w:numPr>
        <w:spacing w:before="120"/>
        <w:ind w:left="690" w:hanging="240"/>
        <w:rPr>
          <w:rFonts w:ascii="等线" w:eastAsia="等线" w:hAnsi="Times New Roman"/>
          <w:color w:val="000000"/>
        </w:rPr>
      </w:pPr>
      <w:r w:rsidRPr="00A90745">
        <w:rPr>
          <w:rFonts w:ascii="等线" w:eastAsia="等线" w:hAnsi="Times New Roman"/>
          <w:color w:val="000000"/>
        </w:rPr>
        <w:t>Peking University, J.D. and J.M.</w:t>
      </w:r>
    </w:p>
    <w:p w14:paraId="3E9B369E" w14:textId="77777777" w:rsidR="00A90745" w:rsidRDefault="00A90745" w:rsidP="00A90745">
      <w:pPr>
        <w:pStyle w:val="af5"/>
        <w:numPr>
          <w:ilvl w:val="0"/>
          <w:numId w:val="16"/>
        </w:numPr>
        <w:spacing w:before="120"/>
        <w:ind w:left="690" w:hanging="240"/>
        <w:rPr>
          <w:rFonts w:ascii="等线" w:eastAsia="等线" w:hAnsi="Times New Roman"/>
          <w:color w:val="000000"/>
        </w:rPr>
      </w:pPr>
      <w:r w:rsidRPr="00A90745">
        <w:rPr>
          <w:rFonts w:ascii="等线" w:eastAsia="等线" w:hAnsi="Times New Roman"/>
          <w:color w:val="000000"/>
        </w:rPr>
        <w:t>University of Lausanne (Switzerland), LL.M.</w:t>
      </w:r>
    </w:p>
    <w:p w14:paraId="58D183B2" w14:textId="77777777" w:rsidR="00A90745" w:rsidRDefault="00A90745" w:rsidP="00A90745">
      <w:pPr>
        <w:pStyle w:val="af5"/>
        <w:numPr>
          <w:ilvl w:val="0"/>
          <w:numId w:val="17"/>
        </w:numPr>
        <w:spacing w:before="120"/>
        <w:ind w:left="690" w:hanging="240"/>
        <w:rPr>
          <w:rFonts w:ascii="等线" w:eastAsia="等线" w:hAnsi="Times New Roman"/>
          <w:color w:val="000000"/>
        </w:rPr>
      </w:pPr>
      <w:r w:rsidRPr="00A90745">
        <w:rPr>
          <w:rFonts w:ascii="等线" w:eastAsia="等线" w:hAnsi="Times New Roman"/>
          <w:color w:val="000000"/>
        </w:rPr>
        <w:t>Southwest University of Political Science and Law, B.E. and LL.B.</w:t>
      </w:r>
    </w:p>
    <w:p w14:paraId="37C3A9C2" w14:textId="77777777" w:rsidR="00A90745" w:rsidRDefault="00A90745" w:rsidP="00A90745">
      <w:pPr>
        <w:pStyle w:val="af5"/>
        <w:spacing w:after="0" w:line="480" w:lineRule="auto"/>
        <w:rPr>
          <w:rFonts w:ascii="等线" w:eastAsia="等线" w:hAnsi="等线"/>
          <w:b/>
          <w:sz w:val="24"/>
        </w:rPr>
      </w:pPr>
      <w:r w:rsidRPr="00A90745">
        <w:rPr>
          <w:rFonts w:ascii="等线" w:eastAsia="等线" w:hAnsi="等线"/>
          <w:b/>
          <w:sz w:val="24"/>
        </w:rPr>
        <w:t>Professional Qualification</w:t>
      </w:r>
    </w:p>
    <w:p w14:paraId="7D6AF14B" w14:textId="77777777" w:rsidR="00A90745" w:rsidRDefault="00A90745" w:rsidP="00A90745">
      <w:pPr>
        <w:pStyle w:val="af5"/>
        <w:numPr>
          <w:ilvl w:val="0"/>
          <w:numId w:val="18"/>
        </w:numPr>
        <w:spacing w:before="120"/>
        <w:ind w:left="690" w:hanging="240"/>
        <w:rPr>
          <w:rFonts w:ascii="等线" w:eastAsia="等线" w:hAnsi="Times New Roman"/>
          <w:color w:val="000000"/>
        </w:rPr>
      </w:pPr>
      <w:r w:rsidRPr="00A90745">
        <w:rPr>
          <w:rFonts w:ascii="等线" w:eastAsia="等线" w:hAnsi="Times New Roman"/>
          <w:color w:val="000000"/>
        </w:rPr>
        <w:t>Admitted to practice in the PRC</w:t>
      </w:r>
    </w:p>
    <w:p w14:paraId="1C23FC21" w14:textId="77777777" w:rsidR="00A90745" w:rsidRDefault="00A90745" w:rsidP="00A90745">
      <w:pPr>
        <w:pStyle w:val="af5"/>
        <w:numPr>
          <w:ilvl w:val="0"/>
          <w:numId w:val="19"/>
        </w:numPr>
        <w:spacing w:before="120"/>
        <w:ind w:left="690" w:hanging="240"/>
        <w:rPr>
          <w:rFonts w:ascii="等线" w:eastAsia="等线" w:hAnsi="Times New Roman"/>
          <w:color w:val="000000"/>
        </w:rPr>
      </w:pPr>
      <w:r w:rsidRPr="00A90745">
        <w:rPr>
          <w:rFonts w:ascii="等线" w:eastAsia="等线" w:hAnsi="Times New Roman"/>
          <w:color w:val="000000"/>
        </w:rPr>
        <w:t>Admitted to practice before the CNIPA</w:t>
      </w:r>
    </w:p>
    <w:p w14:paraId="2FFF33C6" w14:textId="77777777" w:rsidR="00A90745" w:rsidRDefault="00A90745" w:rsidP="00A90745">
      <w:pPr>
        <w:pStyle w:val="af5"/>
        <w:spacing w:after="0" w:line="480" w:lineRule="auto"/>
        <w:rPr>
          <w:rFonts w:ascii="等线" w:eastAsia="等线" w:hAnsi="等线"/>
          <w:b/>
          <w:sz w:val="24"/>
        </w:rPr>
      </w:pPr>
      <w:r w:rsidRPr="00A90745">
        <w:rPr>
          <w:rFonts w:ascii="等线" w:eastAsia="等线" w:hAnsi="等线"/>
          <w:b/>
          <w:sz w:val="24"/>
        </w:rPr>
        <w:t>Work Language</w:t>
      </w:r>
    </w:p>
    <w:p w14:paraId="76659BDD" w14:textId="77777777" w:rsidR="00A90745" w:rsidRDefault="00A90745" w:rsidP="00A90745">
      <w:pPr>
        <w:pStyle w:val="af5"/>
        <w:numPr>
          <w:ilvl w:val="0"/>
          <w:numId w:val="20"/>
        </w:numPr>
        <w:spacing w:before="120"/>
        <w:ind w:left="690" w:hanging="240"/>
        <w:rPr>
          <w:rFonts w:ascii="等线" w:eastAsia="等线" w:hAnsi="Times New Roman"/>
          <w:color w:val="000000"/>
        </w:rPr>
      </w:pPr>
      <w:r w:rsidRPr="00A90745">
        <w:rPr>
          <w:rFonts w:ascii="等线" w:eastAsia="等线" w:hAnsi="Times New Roman"/>
          <w:color w:val="000000"/>
        </w:rPr>
        <w:t>Chinese</w:t>
      </w:r>
    </w:p>
    <w:p w14:paraId="4E1095D9" w14:textId="77777777" w:rsidR="00A90745" w:rsidRDefault="00A90745" w:rsidP="00A90745">
      <w:pPr>
        <w:pStyle w:val="af5"/>
        <w:numPr>
          <w:ilvl w:val="0"/>
          <w:numId w:val="21"/>
        </w:numPr>
        <w:spacing w:before="120"/>
        <w:ind w:left="690" w:hanging="240"/>
        <w:rPr>
          <w:rFonts w:ascii="等线" w:eastAsia="等线" w:hAnsi="Times New Roman"/>
          <w:color w:val="000000"/>
        </w:rPr>
      </w:pPr>
      <w:r w:rsidRPr="00A90745">
        <w:rPr>
          <w:rFonts w:ascii="等线" w:eastAsia="等线" w:hAnsi="Times New Roman"/>
          <w:color w:val="000000"/>
        </w:rPr>
        <w:t>English</w:t>
      </w:r>
    </w:p>
    <w:p w14:paraId="106B9876" w14:textId="77777777" w:rsidR="00A90745" w:rsidRDefault="00A90745" w:rsidP="00A90745">
      <w:pPr>
        <w:pStyle w:val="af5"/>
        <w:spacing w:after="0" w:line="480" w:lineRule="auto"/>
        <w:rPr>
          <w:rFonts w:ascii="等线" w:eastAsia="等线" w:hAnsi="等线"/>
          <w:b/>
          <w:sz w:val="24"/>
        </w:rPr>
      </w:pPr>
      <w:r w:rsidRPr="00A90745">
        <w:rPr>
          <w:rFonts w:ascii="等线" w:eastAsia="等线" w:hAnsi="等线"/>
          <w:b/>
          <w:sz w:val="24"/>
        </w:rPr>
        <w:t>Professional Background</w:t>
      </w:r>
    </w:p>
    <w:p w14:paraId="492A0313" w14:textId="77777777" w:rsidR="00A90745" w:rsidRDefault="00A90745" w:rsidP="00A90745">
      <w:pPr>
        <w:pStyle w:val="af5"/>
        <w:numPr>
          <w:ilvl w:val="0"/>
          <w:numId w:val="22"/>
        </w:numPr>
        <w:spacing w:before="120"/>
        <w:ind w:left="690" w:hanging="240"/>
        <w:rPr>
          <w:rFonts w:ascii="等线" w:eastAsia="等线" w:hAnsi="Times New Roman"/>
          <w:color w:val="000000"/>
        </w:rPr>
      </w:pPr>
      <w:r w:rsidRPr="00A90745">
        <w:rPr>
          <w:rFonts w:ascii="等线" w:eastAsia="等线" w:hAnsi="Times New Roman"/>
          <w:color w:val="000000"/>
        </w:rPr>
        <w:t>Ms. Wu joined Fangda</w:t>
      </w:r>
      <w:r w:rsidRPr="00A90745">
        <w:rPr>
          <w:rFonts w:ascii="等线" w:eastAsia="等线" w:hAnsi="Times New Roman"/>
          <w:color w:val="000000"/>
        </w:rPr>
        <w:t>’</w:t>
      </w:r>
      <w:r w:rsidRPr="00A90745">
        <w:rPr>
          <w:rFonts w:ascii="等线" w:eastAsia="等线" w:hAnsi="Times New Roman"/>
          <w:color w:val="000000"/>
        </w:rPr>
        <w:t>s Beijing office in 2017.</w:t>
      </w:r>
    </w:p>
    <w:p w14:paraId="092126A3" w14:textId="77777777" w:rsidR="00A90745" w:rsidRDefault="00A90745" w:rsidP="00A90745">
      <w:pPr>
        <w:pStyle w:val="af5"/>
        <w:spacing w:after="0" w:line="480" w:lineRule="auto"/>
        <w:rPr>
          <w:rFonts w:ascii="等线" w:eastAsia="等线" w:hAnsi="等线"/>
          <w:b/>
          <w:sz w:val="24"/>
        </w:rPr>
      </w:pPr>
      <w:r w:rsidRPr="00A90745">
        <w:rPr>
          <w:rFonts w:ascii="等线" w:eastAsia="等线" w:hAnsi="等线"/>
          <w:b/>
          <w:sz w:val="24"/>
        </w:rPr>
        <w:t>OTHER INFORMATION</w:t>
      </w:r>
    </w:p>
    <w:p w14:paraId="0A6A128A" w14:textId="77777777" w:rsidR="00A90745" w:rsidRDefault="00A90745" w:rsidP="00A90745">
      <w:pPr>
        <w:pStyle w:val="af5"/>
        <w:spacing w:after="0" w:line="480" w:lineRule="auto"/>
        <w:rPr>
          <w:rFonts w:ascii="等线" w:eastAsia="等线" w:hAnsi="等线"/>
          <w:b/>
          <w:sz w:val="24"/>
        </w:rPr>
      </w:pPr>
      <w:r w:rsidRPr="00A90745">
        <w:rPr>
          <w:rFonts w:ascii="等线" w:eastAsia="等线" w:hAnsi="等线"/>
          <w:b/>
          <w:sz w:val="24"/>
        </w:rPr>
        <w:t>Publications</w:t>
      </w:r>
    </w:p>
    <w:p w14:paraId="3C884DD3" w14:textId="77777777" w:rsidR="00A90745" w:rsidRDefault="00A90745" w:rsidP="00A90745">
      <w:pPr>
        <w:pStyle w:val="af5"/>
        <w:numPr>
          <w:ilvl w:val="0"/>
          <w:numId w:val="23"/>
        </w:numPr>
        <w:spacing w:before="120"/>
        <w:ind w:left="690" w:hanging="240"/>
        <w:rPr>
          <w:rFonts w:ascii="等线" w:eastAsia="等线" w:hAnsi="Times New Roman"/>
          <w:color w:val="000000"/>
        </w:rPr>
      </w:pPr>
      <w:r w:rsidRPr="00A90745">
        <w:rPr>
          <w:rFonts w:ascii="等线" w:eastAsia="等线" w:hAnsi="Times New Roman"/>
          <w:color w:val="000000"/>
        </w:rPr>
        <w:t>“</w:t>
      </w:r>
      <w:r w:rsidRPr="00A90745">
        <w:rPr>
          <w:rFonts w:ascii="等线" w:eastAsia="等线" w:hAnsi="Times New Roman"/>
          <w:color w:val="000000"/>
        </w:rPr>
        <w:t>Jurisdiction Rule Changes for Supreme People</w:t>
      </w:r>
      <w:r w:rsidRPr="00A90745">
        <w:rPr>
          <w:rFonts w:ascii="等线" w:eastAsia="等线" w:hAnsi="Times New Roman"/>
          <w:color w:val="000000"/>
        </w:rPr>
        <w:t>’</w:t>
      </w:r>
      <w:r w:rsidRPr="00A90745">
        <w:rPr>
          <w:rFonts w:ascii="等线" w:eastAsia="等线" w:hAnsi="Times New Roman"/>
          <w:color w:val="000000"/>
        </w:rPr>
        <w:t>s Court IP Tribunal</w:t>
      </w:r>
      <w:r w:rsidRPr="00A90745">
        <w:rPr>
          <w:rFonts w:ascii="等线" w:eastAsia="等线" w:hAnsi="Times New Roman"/>
          <w:color w:val="000000"/>
        </w:rPr>
        <w:t>”</w:t>
      </w:r>
      <w:r w:rsidRPr="00A90745">
        <w:rPr>
          <w:rFonts w:ascii="等线" w:eastAsia="等线" w:hAnsi="Times New Roman"/>
          <w:color w:val="000000"/>
        </w:rPr>
        <w:t xml:space="preserve">, Fang Qi and Danlei Wu, China Law &amp; Practice, November 2023 </w:t>
      </w:r>
    </w:p>
    <w:p w14:paraId="0D62EC54" w14:textId="77777777" w:rsidR="00A90745" w:rsidRDefault="00A90745" w:rsidP="00A90745">
      <w:pPr>
        <w:pStyle w:val="af5"/>
        <w:numPr>
          <w:ilvl w:val="0"/>
          <w:numId w:val="24"/>
        </w:numPr>
        <w:spacing w:before="120"/>
        <w:ind w:left="690" w:hanging="240"/>
        <w:rPr>
          <w:rFonts w:ascii="等线" w:eastAsia="等线" w:hAnsi="Times New Roman"/>
          <w:color w:val="000000"/>
        </w:rPr>
      </w:pPr>
      <w:r w:rsidRPr="00A90745">
        <w:rPr>
          <w:rFonts w:ascii="等线" w:eastAsia="等线" w:hAnsi="Times New Roman"/>
          <w:color w:val="000000"/>
        </w:rPr>
        <w:t>“</w:t>
      </w:r>
      <w:r w:rsidRPr="00A90745">
        <w:rPr>
          <w:rFonts w:ascii="等线" w:eastAsia="等线" w:hAnsi="Times New Roman"/>
          <w:color w:val="000000"/>
        </w:rPr>
        <w:t>The Supreme People</w:t>
      </w:r>
      <w:r w:rsidRPr="00A90745">
        <w:rPr>
          <w:rFonts w:ascii="等线" w:eastAsia="等线" w:hAnsi="Times New Roman"/>
          <w:color w:val="000000"/>
        </w:rPr>
        <w:t>’</w:t>
      </w:r>
      <w:r w:rsidRPr="00A90745">
        <w:rPr>
          <w:rFonts w:ascii="等线" w:eastAsia="等线" w:hAnsi="Times New Roman"/>
          <w:color w:val="000000"/>
        </w:rPr>
        <w:t>s Court</w:t>
      </w:r>
      <w:r w:rsidRPr="00A90745">
        <w:rPr>
          <w:rFonts w:ascii="等线" w:eastAsia="等线" w:hAnsi="Times New Roman"/>
          <w:color w:val="000000"/>
        </w:rPr>
        <w:t>’</w:t>
      </w:r>
      <w:r w:rsidRPr="00A90745">
        <w:rPr>
          <w:rFonts w:ascii="等线" w:eastAsia="等线" w:hAnsi="Times New Roman"/>
          <w:color w:val="000000"/>
        </w:rPr>
        <w:t>s Landmark Anti-Monopoly and Anti-Unfair Competition Cases</w:t>
      </w:r>
      <w:r w:rsidRPr="00A90745">
        <w:rPr>
          <w:rFonts w:ascii="等线" w:eastAsia="等线" w:hAnsi="Times New Roman"/>
          <w:color w:val="000000"/>
        </w:rPr>
        <w:t>”</w:t>
      </w:r>
      <w:r w:rsidRPr="00A90745">
        <w:rPr>
          <w:rFonts w:ascii="等线" w:eastAsia="等线" w:hAnsi="Times New Roman"/>
          <w:color w:val="000000"/>
        </w:rPr>
        <w:t xml:space="preserve">, Fang Qi and Danlei Wu, China Law &amp; Practice, November 2023 </w:t>
      </w:r>
    </w:p>
    <w:p w14:paraId="5C6E5853" w14:textId="77777777" w:rsidR="00A90745" w:rsidRDefault="00A90745" w:rsidP="00A90745">
      <w:pPr>
        <w:pStyle w:val="af5"/>
        <w:numPr>
          <w:ilvl w:val="0"/>
          <w:numId w:val="25"/>
        </w:numPr>
        <w:spacing w:before="120"/>
        <w:ind w:left="690" w:hanging="240"/>
        <w:rPr>
          <w:rFonts w:ascii="等线" w:eastAsia="等线" w:hAnsi="Times New Roman"/>
          <w:color w:val="000000"/>
        </w:rPr>
      </w:pPr>
      <w:r w:rsidRPr="00A90745">
        <w:rPr>
          <w:rFonts w:ascii="等线" w:eastAsia="等线" w:hAnsi="Times New Roman"/>
          <w:color w:val="000000"/>
        </w:rPr>
        <w:t>“</w:t>
      </w:r>
      <w:r w:rsidRPr="00A90745">
        <w:rPr>
          <w:rFonts w:ascii="等线" w:eastAsia="等线" w:hAnsi="Times New Roman"/>
          <w:color w:val="000000"/>
        </w:rPr>
        <w:t>Copyright Protection for AI-Generated Content</w:t>
      </w:r>
      <w:r w:rsidRPr="00A90745">
        <w:rPr>
          <w:rFonts w:ascii="等线" w:eastAsia="等线" w:hAnsi="Times New Roman"/>
          <w:color w:val="000000"/>
        </w:rPr>
        <w:t>”</w:t>
      </w:r>
      <w:r w:rsidRPr="00A90745">
        <w:rPr>
          <w:rFonts w:ascii="等线" w:eastAsia="等线" w:hAnsi="Times New Roman"/>
          <w:color w:val="000000"/>
        </w:rPr>
        <w:t xml:space="preserve">, Fang Qi and Danlei Wu, China Law &amp; Practice, April 2023 </w:t>
      </w:r>
    </w:p>
    <w:p w14:paraId="1A3AABB7" w14:textId="77777777" w:rsidR="00A90745" w:rsidRDefault="00A90745" w:rsidP="00A90745">
      <w:pPr>
        <w:pStyle w:val="af5"/>
        <w:numPr>
          <w:ilvl w:val="0"/>
          <w:numId w:val="26"/>
        </w:numPr>
        <w:spacing w:before="120"/>
        <w:ind w:left="690" w:hanging="240"/>
        <w:rPr>
          <w:rFonts w:ascii="等线" w:eastAsia="等线" w:hAnsi="Times New Roman"/>
          <w:color w:val="000000"/>
        </w:rPr>
      </w:pPr>
      <w:r w:rsidRPr="00A90745">
        <w:rPr>
          <w:rFonts w:ascii="等线" w:eastAsia="等线" w:hAnsi="Times New Roman"/>
          <w:color w:val="000000"/>
        </w:rPr>
        <w:t>“</w:t>
      </w:r>
      <w:r w:rsidRPr="00A90745">
        <w:rPr>
          <w:rFonts w:ascii="等线" w:eastAsia="等线" w:hAnsi="Times New Roman"/>
          <w:color w:val="000000"/>
        </w:rPr>
        <w:t>The Supreme People</w:t>
      </w:r>
      <w:r w:rsidRPr="00A90745">
        <w:rPr>
          <w:rFonts w:ascii="等线" w:eastAsia="等线" w:hAnsi="Times New Roman"/>
          <w:color w:val="000000"/>
        </w:rPr>
        <w:t>’</w:t>
      </w:r>
      <w:r w:rsidRPr="00A90745">
        <w:rPr>
          <w:rFonts w:ascii="等线" w:eastAsia="等线" w:hAnsi="Times New Roman"/>
          <w:color w:val="000000"/>
        </w:rPr>
        <w:t>s Court</w:t>
      </w:r>
      <w:r w:rsidRPr="00A90745">
        <w:rPr>
          <w:rFonts w:ascii="等线" w:eastAsia="等线" w:hAnsi="Times New Roman"/>
          <w:color w:val="000000"/>
        </w:rPr>
        <w:t>’</w:t>
      </w:r>
      <w:r w:rsidRPr="00A90745">
        <w:rPr>
          <w:rFonts w:ascii="等线" w:eastAsia="等线" w:hAnsi="Times New Roman"/>
          <w:color w:val="000000"/>
        </w:rPr>
        <w:t>s First Patent Linkage Decision</w:t>
      </w:r>
      <w:r w:rsidRPr="00A90745">
        <w:rPr>
          <w:rFonts w:ascii="等线" w:eastAsia="等线" w:hAnsi="Times New Roman"/>
          <w:color w:val="000000"/>
        </w:rPr>
        <w:t>”</w:t>
      </w:r>
      <w:r w:rsidRPr="00A90745">
        <w:rPr>
          <w:rFonts w:ascii="等线" w:eastAsia="等线" w:hAnsi="Times New Roman"/>
          <w:color w:val="000000"/>
        </w:rPr>
        <w:t xml:space="preserve">, Fang Qi and Danlei Wu, China Law &amp; Practice, September 2022 </w:t>
      </w:r>
    </w:p>
    <w:p w14:paraId="3E125142" w14:textId="77777777" w:rsidR="00A90745" w:rsidRDefault="00A90745" w:rsidP="00A90745">
      <w:pPr>
        <w:pStyle w:val="af5"/>
        <w:numPr>
          <w:ilvl w:val="0"/>
          <w:numId w:val="27"/>
        </w:numPr>
        <w:spacing w:before="120"/>
        <w:ind w:left="690" w:hanging="240"/>
        <w:rPr>
          <w:rFonts w:ascii="等线" w:eastAsia="等线" w:hAnsi="Times New Roman"/>
          <w:color w:val="000000"/>
        </w:rPr>
      </w:pPr>
      <w:r w:rsidRPr="00A90745">
        <w:rPr>
          <w:rFonts w:ascii="等线" w:eastAsia="等线" w:hAnsi="Times New Roman"/>
          <w:color w:val="000000"/>
        </w:rPr>
        <w:t>“</w:t>
      </w:r>
      <w:r w:rsidRPr="00A90745">
        <w:rPr>
          <w:rFonts w:ascii="等线" w:eastAsia="等线" w:hAnsi="Times New Roman"/>
          <w:color w:val="000000"/>
        </w:rPr>
        <w:t>China</w:t>
      </w:r>
      <w:r w:rsidRPr="00A90745">
        <w:rPr>
          <w:rFonts w:ascii="等线" w:eastAsia="等线" w:hAnsi="Times New Roman"/>
          <w:color w:val="000000"/>
        </w:rPr>
        <w:t>’</w:t>
      </w:r>
      <w:r w:rsidRPr="00A90745">
        <w:rPr>
          <w:rFonts w:ascii="等线" w:eastAsia="等线" w:hAnsi="Times New Roman"/>
          <w:color w:val="000000"/>
        </w:rPr>
        <w:t>s First Judicial Decision on Patent Linkage</w:t>
      </w:r>
      <w:r w:rsidRPr="00A90745">
        <w:rPr>
          <w:rFonts w:ascii="等线" w:eastAsia="等线" w:hAnsi="Times New Roman"/>
          <w:color w:val="000000"/>
        </w:rPr>
        <w:t>”</w:t>
      </w:r>
      <w:r w:rsidRPr="00A90745">
        <w:rPr>
          <w:rFonts w:ascii="等线" w:eastAsia="等线" w:hAnsi="Times New Roman"/>
          <w:color w:val="000000"/>
        </w:rPr>
        <w:t xml:space="preserve">, Fang Qi and Danlei Wu, China Law &amp; Practice, June 2022 </w:t>
      </w:r>
    </w:p>
    <w:p w14:paraId="4362920B" w14:textId="77777777" w:rsidR="00A90745" w:rsidRDefault="00A90745" w:rsidP="00A90745">
      <w:pPr>
        <w:pStyle w:val="af5"/>
        <w:numPr>
          <w:ilvl w:val="0"/>
          <w:numId w:val="28"/>
        </w:numPr>
        <w:spacing w:before="120"/>
        <w:ind w:left="690" w:hanging="240"/>
        <w:rPr>
          <w:rFonts w:ascii="等线" w:eastAsia="等线" w:hAnsi="Times New Roman"/>
          <w:color w:val="000000"/>
        </w:rPr>
      </w:pPr>
      <w:r w:rsidRPr="00A90745">
        <w:rPr>
          <w:rFonts w:ascii="等线" w:eastAsia="等线" w:hAnsi="Times New Roman"/>
          <w:color w:val="000000"/>
        </w:rPr>
        <w:t>“</w:t>
      </w:r>
      <w:r w:rsidRPr="00A90745">
        <w:rPr>
          <w:rFonts w:ascii="等线" w:eastAsia="等线" w:hAnsi="Times New Roman"/>
          <w:color w:val="000000"/>
        </w:rPr>
        <w:t>The Supreme People</w:t>
      </w:r>
      <w:r w:rsidRPr="00A90745">
        <w:rPr>
          <w:rFonts w:ascii="等线" w:eastAsia="等线" w:hAnsi="Times New Roman"/>
          <w:color w:val="000000"/>
        </w:rPr>
        <w:t>’</w:t>
      </w:r>
      <w:r w:rsidRPr="00A90745">
        <w:rPr>
          <w:rFonts w:ascii="等线" w:eastAsia="等线" w:hAnsi="Times New Roman"/>
          <w:color w:val="000000"/>
        </w:rPr>
        <w:t>s Court</w:t>
      </w:r>
      <w:r w:rsidRPr="00A90745">
        <w:rPr>
          <w:rFonts w:ascii="等线" w:eastAsia="等线" w:hAnsi="Times New Roman"/>
          <w:color w:val="000000"/>
        </w:rPr>
        <w:t>’</w:t>
      </w:r>
      <w:r w:rsidRPr="00A90745">
        <w:rPr>
          <w:rFonts w:ascii="等线" w:eastAsia="等线" w:hAnsi="Times New Roman"/>
          <w:color w:val="000000"/>
        </w:rPr>
        <w:t>s 2021 Annual Report on Intellectual Property Protection and Cases</w:t>
      </w:r>
      <w:r w:rsidRPr="00A90745">
        <w:rPr>
          <w:rFonts w:ascii="等线" w:eastAsia="等线" w:hAnsi="Times New Roman"/>
          <w:color w:val="000000"/>
        </w:rPr>
        <w:t>”</w:t>
      </w:r>
      <w:r w:rsidRPr="00A90745">
        <w:rPr>
          <w:rFonts w:ascii="等线" w:eastAsia="等线" w:hAnsi="Times New Roman"/>
          <w:color w:val="000000"/>
        </w:rPr>
        <w:t xml:space="preserve">, Danlei Wu, China Law &amp; Practice, June 2022 </w:t>
      </w:r>
    </w:p>
    <w:p w14:paraId="3004ECB9" w14:textId="77777777" w:rsidR="00A90745" w:rsidRDefault="00A90745" w:rsidP="00A90745">
      <w:pPr>
        <w:pStyle w:val="af5"/>
        <w:numPr>
          <w:ilvl w:val="0"/>
          <w:numId w:val="29"/>
        </w:numPr>
        <w:spacing w:before="120"/>
        <w:ind w:left="690" w:hanging="240"/>
        <w:rPr>
          <w:rFonts w:ascii="等线" w:eastAsia="等线" w:hAnsi="Times New Roman"/>
          <w:color w:val="000000"/>
        </w:rPr>
      </w:pPr>
      <w:r w:rsidRPr="00A90745">
        <w:rPr>
          <w:rFonts w:ascii="等线" w:eastAsia="等线" w:hAnsi="Times New Roman"/>
          <w:color w:val="000000"/>
        </w:rPr>
        <w:t>“</w:t>
      </w:r>
      <w:r w:rsidRPr="00A90745">
        <w:rPr>
          <w:rFonts w:ascii="等线" w:eastAsia="等线" w:hAnsi="Times New Roman"/>
          <w:color w:val="000000"/>
        </w:rPr>
        <w:t>Protection of Information as Trade Secrets in China</w:t>
      </w:r>
      <w:r w:rsidRPr="00A90745">
        <w:rPr>
          <w:rFonts w:ascii="等线" w:eastAsia="等线" w:hAnsi="Times New Roman"/>
          <w:color w:val="000000"/>
        </w:rPr>
        <w:t>”</w:t>
      </w:r>
      <w:r w:rsidRPr="00A90745">
        <w:rPr>
          <w:rFonts w:ascii="等线" w:eastAsia="等线" w:hAnsi="Times New Roman"/>
          <w:color w:val="000000"/>
        </w:rPr>
        <w:t xml:space="preserve">, Fang Qi and Danlei Wu, China Law &amp; Practice, September 2021 </w:t>
      </w:r>
    </w:p>
    <w:p w14:paraId="2C506251" w14:textId="77777777" w:rsidR="00A90745" w:rsidRDefault="00A90745" w:rsidP="00A90745">
      <w:pPr>
        <w:pStyle w:val="af5"/>
        <w:numPr>
          <w:ilvl w:val="0"/>
          <w:numId w:val="30"/>
        </w:numPr>
        <w:spacing w:before="120"/>
        <w:ind w:left="690" w:hanging="240"/>
        <w:rPr>
          <w:rFonts w:ascii="等线" w:eastAsia="等线" w:hAnsi="Times New Roman"/>
          <w:color w:val="000000"/>
        </w:rPr>
      </w:pPr>
      <w:r w:rsidRPr="00A90745">
        <w:rPr>
          <w:rFonts w:ascii="等线" w:eastAsia="等线" w:hAnsi="Times New Roman"/>
          <w:color w:val="000000"/>
        </w:rPr>
        <w:t>“</w:t>
      </w:r>
      <w:r w:rsidRPr="00A90745">
        <w:rPr>
          <w:rFonts w:ascii="等线" w:eastAsia="等线" w:hAnsi="Times New Roman"/>
          <w:color w:val="000000"/>
        </w:rPr>
        <w:t>The Role of the Procuratorate in Intellectual Property Cases</w:t>
      </w:r>
      <w:r w:rsidRPr="00A90745">
        <w:rPr>
          <w:rFonts w:ascii="等线" w:eastAsia="等线" w:hAnsi="Times New Roman"/>
          <w:color w:val="000000"/>
        </w:rPr>
        <w:t>”</w:t>
      </w:r>
      <w:r w:rsidRPr="00A90745">
        <w:rPr>
          <w:rFonts w:ascii="等线" w:eastAsia="等线" w:hAnsi="Times New Roman"/>
          <w:color w:val="000000"/>
        </w:rPr>
        <w:t xml:space="preserve">, Danlei Wu, China Law &amp; Practice, April 2021 </w:t>
      </w:r>
    </w:p>
    <w:p w14:paraId="51BAD6E6" w14:textId="77777777" w:rsidR="00A90745" w:rsidRDefault="00A90745" w:rsidP="00A90745">
      <w:pPr>
        <w:pStyle w:val="af5"/>
        <w:numPr>
          <w:ilvl w:val="0"/>
          <w:numId w:val="31"/>
        </w:numPr>
        <w:spacing w:before="120"/>
        <w:ind w:left="690" w:hanging="240"/>
        <w:rPr>
          <w:rFonts w:ascii="等线" w:eastAsia="等线" w:hAnsi="Times New Roman"/>
          <w:color w:val="000000"/>
        </w:rPr>
      </w:pPr>
      <w:r w:rsidRPr="00A90745">
        <w:rPr>
          <w:rFonts w:ascii="等线" w:eastAsia="等线" w:hAnsi="Times New Roman"/>
          <w:color w:val="000000"/>
        </w:rPr>
        <w:t>“</w:t>
      </w:r>
      <w:r w:rsidRPr="00A90745">
        <w:rPr>
          <w:rFonts w:ascii="等线" w:eastAsia="等线" w:hAnsi="Times New Roman"/>
          <w:color w:val="000000"/>
        </w:rPr>
        <w:t>The Fourth Amendment to the Patent Law</w:t>
      </w:r>
      <w:r w:rsidRPr="00A90745">
        <w:rPr>
          <w:rFonts w:ascii="等线" w:eastAsia="等线" w:hAnsi="Times New Roman"/>
          <w:color w:val="000000"/>
        </w:rPr>
        <w:t>”</w:t>
      </w:r>
      <w:r w:rsidRPr="00A90745">
        <w:rPr>
          <w:rFonts w:ascii="等线" w:eastAsia="等线" w:hAnsi="Times New Roman"/>
          <w:color w:val="000000"/>
        </w:rPr>
        <w:t xml:space="preserve">, Fang Qi and Danlei Wu, China Law &amp; Practice, November 2020 </w:t>
      </w:r>
    </w:p>
    <w:p w14:paraId="72C4E58A" w14:textId="77777777" w:rsidR="00A90745" w:rsidRDefault="00A90745" w:rsidP="00A90745">
      <w:pPr>
        <w:pStyle w:val="af5"/>
        <w:numPr>
          <w:ilvl w:val="0"/>
          <w:numId w:val="32"/>
        </w:numPr>
        <w:spacing w:before="120"/>
        <w:ind w:left="690" w:hanging="240"/>
        <w:rPr>
          <w:rFonts w:ascii="等线" w:eastAsia="等线" w:hAnsi="Times New Roman"/>
          <w:color w:val="000000"/>
        </w:rPr>
      </w:pPr>
      <w:r w:rsidRPr="00A90745">
        <w:rPr>
          <w:rFonts w:ascii="等线" w:eastAsia="等线" w:hAnsi="Times New Roman"/>
          <w:color w:val="000000"/>
        </w:rPr>
        <w:t xml:space="preserve">Co-Author, </w:t>
      </w:r>
      <w:r w:rsidRPr="00A90745">
        <w:rPr>
          <w:rFonts w:ascii="等线" w:eastAsia="等线" w:hAnsi="Times New Roman"/>
          <w:color w:val="000000"/>
        </w:rPr>
        <w:t>“</w:t>
      </w:r>
      <w:r w:rsidRPr="00A90745">
        <w:rPr>
          <w:rFonts w:ascii="等线" w:eastAsia="等线" w:hAnsi="Times New Roman"/>
          <w:color w:val="000000"/>
        </w:rPr>
        <w:t>Defending Chinese Companies in Intellectual Property Litigations in the U.S.</w:t>
      </w:r>
      <w:r w:rsidRPr="00A90745">
        <w:rPr>
          <w:rFonts w:ascii="等线" w:eastAsia="等线" w:hAnsi="Times New Roman"/>
          <w:color w:val="000000"/>
        </w:rPr>
        <w:t>”</w:t>
      </w:r>
      <w:r w:rsidRPr="00A90745">
        <w:rPr>
          <w:rFonts w:ascii="等线" w:eastAsia="等线" w:hAnsi="Times New Roman"/>
          <w:color w:val="000000"/>
        </w:rPr>
        <w:t xml:space="preserve">, Wolters Kluwer, June 2020 </w:t>
      </w:r>
    </w:p>
    <w:p w14:paraId="4C16A3A9" w14:textId="77777777" w:rsidR="00A90745" w:rsidRDefault="00A90745" w:rsidP="00A90745">
      <w:pPr>
        <w:pStyle w:val="af5"/>
        <w:numPr>
          <w:ilvl w:val="0"/>
          <w:numId w:val="33"/>
        </w:numPr>
        <w:spacing w:before="120"/>
        <w:ind w:left="690" w:hanging="240"/>
        <w:rPr>
          <w:rFonts w:ascii="等线" w:eastAsia="等线" w:hAnsi="Times New Roman"/>
          <w:color w:val="000000"/>
        </w:rPr>
      </w:pPr>
      <w:r w:rsidRPr="00A90745">
        <w:rPr>
          <w:rFonts w:ascii="等线" w:eastAsia="等线" w:hAnsi="Times New Roman"/>
          <w:color w:val="000000"/>
        </w:rPr>
        <w:t>“</w:t>
      </w:r>
      <w:r w:rsidRPr="00A90745">
        <w:rPr>
          <w:rFonts w:ascii="等线" w:eastAsia="等线" w:hAnsi="Times New Roman"/>
          <w:color w:val="000000"/>
        </w:rPr>
        <w:t>Online Trials Propel the Use of the Smart Court in China</w:t>
      </w:r>
      <w:r w:rsidRPr="00A90745">
        <w:rPr>
          <w:rFonts w:ascii="等线" w:eastAsia="等线" w:hAnsi="Times New Roman"/>
          <w:color w:val="000000"/>
        </w:rPr>
        <w:t>”</w:t>
      </w:r>
      <w:r w:rsidRPr="00A90745">
        <w:rPr>
          <w:rFonts w:ascii="等线" w:eastAsia="等线" w:hAnsi="Times New Roman"/>
          <w:color w:val="000000"/>
        </w:rPr>
        <w:t xml:space="preserve">, Danlei Wu, China Law &amp; Practice, May 2020 </w:t>
      </w:r>
    </w:p>
    <w:p w14:paraId="5567FC3C" w14:textId="34435D85" w:rsidR="00686369" w:rsidRPr="00A90745" w:rsidRDefault="00A90745" w:rsidP="00A90745">
      <w:pPr>
        <w:pStyle w:val="af5"/>
        <w:numPr>
          <w:ilvl w:val="0"/>
          <w:numId w:val="34"/>
        </w:numPr>
        <w:spacing w:before="120"/>
        <w:ind w:left="690" w:hanging="240"/>
        <w:rPr>
          <w:rFonts w:ascii="等线" w:eastAsia="等线" w:hAnsi="Times New Roman"/>
          <w:color w:val="000000"/>
        </w:rPr>
      </w:pPr>
      <w:r w:rsidRPr="00A90745">
        <w:rPr>
          <w:rFonts w:ascii="等线" w:eastAsia="等线" w:hAnsi="Times New Roman"/>
          <w:color w:val="000000"/>
        </w:rPr>
        <w:t>“</w:t>
      </w:r>
      <w:r w:rsidRPr="00A90745">
        <w:rPr>
          <w:rFonts w:ascii="等线" w:eastAsia="等线" w:hAnsi="Times New Roman"/>
          <w:color w:val="000000"/>
        </w:rPr>
        <w:t>Battle of Herbal Teas</w:t>
      </w:r>
      <w:r w:rsidRPr="00A90745">
        <w:rPr>
          <w:rFonts w:ascii="等线" w:eastAsia="等线" w:hAnsi="Times New Roman"/>
          <w:color w:val="000000"/>
        </w:rPr>
        <w:t>”</w:t>
      </w:r>
      <w:r w:rsidRPr="00A90745">
        <w:rPr>
          <w:rFonts w:ascii="等线" w:eastAsia="等线" w:hAnsi="Times New Roman"/>
          <w:color w:val="000000"/>
        </w:rPr>
        <w:t xml:space="preserve">, Danlei Wu, China Law &amp; Practice, September 2019 </w:t>
      </w:r>
    </w:p>
    <w:sectPr w:rsidR="00686369" w:rsidRPr="00A9074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358C9"/>
    <w:multiLevelType w:val="singleLevel"/>
    <w:tmpl w:val="307C591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9501EB"/>
    <w:multiLevelType w:val="singleLevel"/>
    <w:tmpl w:val="D414913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401974"/>
    <w:multiLevelType w:val="singleLevel"/>
    <w:tmpl w:val="5F6E99E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54359A"/>
    <w:multiLevelType w:val="singleLevel"/>
    <w:tmpl w:val="971A66A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AB5E67"/>
    <w:multiLevelType w:val="singleLevel"/>
    <w:tmpl w:val="1CF402C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4E1B57"/>
    <w:multiLevelType w:val="singleLevel"/>
    <w:tmpl w:val="D97AC66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0C07D2"/>
    <w:multiLevelType w:val="singleLevel"/>
    <w:tmpl w:val="2ECEF6F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102CB0"/>
    <w:multiLevelType w:val="singleLevel"/>
    <w:tmpl w:val="6EFA086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7E514E"/>
    <w:multiLevelType w:val="singleLevel"/>
    <w:tmpl w:val="B19E9AC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4E0127B"/>
    <w:multiLevelType w:val="singleLevel"/>
    <w:tmpl w:val="CF265D3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79F5686"/>
    <w:multiLevelType w:val="singleLevel"/>
    <w:tmpl w:val="09C058D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7C107B9"/>
    <w:multiLevelType w:val="singleLevel"/>
    <w:tmpl w:val="2ECEF6F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200A98"/>
    <w:multiLevelType w:val="singleLevel"/>
    <w:tmpl w:val="D39219B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49D6032"/>
    <w:multiLevelType w:val="singleLevel"/>
    <w:tmpl w:val="9BC6A11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1D6845"/>
    <w:multiLevelType w:val="singleLevel"/>
    <w:tmpl w:val="3CF62D1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C660E01"/>
    <w:multiLevelType w:val="singleLevel"/>
    <w:tmpl w:val="FD36961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2FF92A0A"/>
    <w:multiLevelType w:val="singleLevel"/>
    <w:tmpl w:val="E6DC40F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06A0ECC"/>
    <w:multiLevelType w:val="singleLevel"/>
    <w:tmpl w:val="36E6A16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9C501BD"/>
    <w:multiLevelType w:val="singleLevel"/>
    <w:tmpl w:val="C02E2AB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FA84B96"/>
    <w:multiLevelType w:val="singleLevel"/>
    <w:tmpl w:val="0D2E21B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98F4034"/>
    <w:multiLevelType w:val="singleLevel"/>
    <w:tmpl w:val="DB6673D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BE018A8"/>
    <w:multiLevelType w:val="singleLevel"/>
    <w:tmpl w:val="3E3251E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2873F42"/>
    <w:multiLevelType w:val="singleLevel"/>
    <w:tmpl w:val="15EC68E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7791618"/>
    <w:multiLevelType w:val="singleLevel"/>
    <w:tmpl w:val="646C066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7AE012F"/>
    <w:multiLevelType w:val="singleLevel"/>
    <w:tmpl w:val="DB5AC8D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C5A1FB4"/>
    <w:multiLevelType w:val="singleLevel"/>
    <w:tmpl w:val="2D580D4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DF844F2"/>
    <w:multiLevelType w:val="singleLevel"/>
    <w:tmpl w:val="9B522C5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08D0E3D"/>
    <w:multiLevelType w:val="singleLevel"/>
    <w:tmpl w:val="8D7096B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5B45862"/>
    <w:multiLevelType w:val="singleLevel"/>
    <w:tmpl w:val="86C8233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5C26A3B"/>
    <w:multiLevelType w:val="singleLevel"/>
    <w:tmpl w:val="08F4DB7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5D66022"/>
    <w:multiLevelType w:val="singleLevel"/>
    <w:tmpl w:val="FD94AA1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9340F8D"/>
    <w:multiLevelType w:val="singleLevel"/>
    <w:tmpl w:val="1474E55C"/>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0"/>
  </w:num>
  <w:num w:numId="3">
    <w:abstractNumId w:val="30"/>
  </w:num>
  <w:num w:numId="4">
    <w:abstractNumId w:val="9"/>
  </w:num>
  <w:num w:numId="5">
    <w:abstractNumId w:val="8"/>
  </w:num>
  <w:num w:numId="6">
    <w:abstractNumId w:val="17"/>
  </w:num>
  <w:num w:numId="7">
    <w:abstractNumId w:val="2"/>
  </w:num>
  <w:num w:numId="8">
    <w:abstractNumId w:val="33"/>
  </w:num>
  <w:num w:numId="9">
    <w:abstractNumId w:val="23"/>
  </w:num>
  <w:num w:numId="10">
    <w:abstractNumId w:val="7"/>
  </w:num>
  <w:num w:numId="11">
    <w:abstractNumId w:val="32"/>
  </w:num>
  <w:num w:numId="12">
    <w:abstractNumId w:val="15"/>
  </w:num>
  <w:num w:numId="13">
    <w:abstractNumId w:val="0"/>
  </w:num>
  <w:num w:numId="14">
    <w:abstractNumId w:val="18"/>
  </w:num>
  <w:num w:numId="15">
    <w:abstractNumId w:val="28"/>
  </w:num>
  <w:num w:numId="16">
    <w:abstractNumId w:val="5"/>
  </w:num>
  <w:num w:numId="17">
    <w:abstractNumId w:val="21"/>
  </w:num>
  <w:num w:numId="18">
    <w:abstractNumId w:val="29"/>
  </w:num>
  <w:num w:numId="19">
    <w:abstractNumId w:val="1"/>
  </w:num>
  <w:num w:numId="20">
    <w:abstractNumId w:val="26"/>
  </w:num>
  <w:num w:numId="21">
    <w:abstractNumId w:val="25"/>
  </w:num>
  <w:num w:numId="22">
    <w:abstractNumId w:val="12"/>
  </w:num>
  <w:num w:numId="23">
    <w:abstractNumId w:val="31"/>
  </w:num>
  <w:num w:numId="24">
    <w:abstractNumId w:val="19"/>
  </w:num>
  <w:num w:numId="25">
    <w:abstractNumId w:val="13"/>
  </w:num>
  <w:num w:numId="26">
    <w:abstractNumId w:val="24"/>
  </w:num>
  <w:num w:numId="27">
    <w:abstractNumId w:val="4"/>
  </w:num>
  <w:num w:numId="28">
    <w:abstractNumId w:val="3"/>
  </w:num>
  <w:num w:numId="29">
    <w:abstractNumId w:val="27"/>
  </w:num>
  <w:num w:numId="30">
    <w:abstractNumId w:val="14"/>
  </w:num>
  <w:num w:numId="31">
    <w:abstractNumId w:val="10"/>
  </w:num>
  <w:num w:numId="32">
    <w:abstractNumId w:val="22"/>
  </w:num>
  <w:num w:numId="33">
    <w:abstractNumId w:val="6"/>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A90745"/>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90745"/>
    <w:pPr>
      <w:spacing w:after="120"/>
    </w:pPr>
  </w:style>
  <w:style w:type="character" w:customStyle="1" w:styleId="af6">
    <w:name w:val="正文文本 字符"/>
    <w:basedOn w:val="a0"/>
    <w:link w:val="af5"/>
    <w:uiPriority w:val="99"/>
    <w:rsid w:val="00A9074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E322F-4DB9-46E9-81F1-EF4141E8D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706</Words>
  <Characters>4029</Characters>
  <Application>Microsoft Office Word</Application>
  <DocSecurity>0</DocSecurity>
  <Lines>33</Lines>
  <Paragraphs>9</Paragraphs>
  <ScaleCrop>false</ScaleCrop>
  <Company/>
  <LinksUpToDate>false</LinksUpToDate>
  <CharactersWithSpaces>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2026-05-17T00:38:00Z</dcterms:created>
  <dcterms:modified xsi:type="dcterms:W3CDTF">2026-05-17T00:38:00Z</dcterms:modified>
</cp:coreProperties>
</file>