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C77B1C8" w:rsidR="0049405C" w:rsidRPr="00C24D79" w:rsidRDefault="00367A20" w:rsidP="00367A2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67A20">
              <w:rPr>
                <w:rFonts w:ascii="等线" w:eastAsia="等线" w:hAnsi="Times New Roman"/>
                <w:b/>
                <w:color w:val="000000"/>
                <w:sz w:val="48"/>
              </w:rPr>
              <w:t>JANE CHEN</w:t>
            </w:r>
            <w:bookmarkEnd w:id="0"/>
          </w:p>
          <w:p w14:paraId="706EB16B" w14:textId="16EC4C61" w:rsidR="0049405C" w:rsidRPr="00C24D79" w:rsidRDefault="00367A20" w:rsidP="00367A2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67A2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67A2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67A2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23AEF7F" w:rsidR="0049405C" w:rsidRPr="00C24D79" w:rsidRDefault="00367A20" w:rsidP="00367A2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67A20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A028ED7" w:rsidR="0049405C" w:rsidRPr="00C24D79" w:rsidRDefault="00367A20" w:rsidP="00367A2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67A20">
              <w:rPr>
                <w:rFonts w:ascii="等线" w:eastAsia="等线" w:hAnsi="Times New Roman"/>
                <w:color w:val="000000"/>
              </w:rPr>
              <w:t>jie.chen@fangdalaw.com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C631593" w:rsidR="0049405C" w:rsidRPr="00C24D79" w:rsidRDefault="00367A2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03F6A91" wp14:editId="1071EF7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F2E8E52" w:rsidR="009465FB" w:rsidRPr="00C24D79" w:rsidRDefault="00367A2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67A20">
              <w:rPr>
                <w:rFonts w:ascii="等线" w:eastAsia="等线" w:hAnsi="Times New Roman"/>
                <w:color w:val="000000"/>
                <w:szCs w:val="21"/>
              </w:rPr>
              <w:t>MS. CHEN IS A CORPORATE PARTNER IN OUR SHANGHAI OFFICE, SPECIALIZING IN CAPITAL MARKETS, PRIVATE EQUITY, AND CORPORATE AND M&amp;A.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C2554F" w14:textId="77777777" w:rsidR="00367A2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128105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REPRESENTATIVE MATTERS AND CASES</w:t>
      </w:r>
    </w:p>
    <w:p w14:paraId="2E56A191" w14:textId="77777777" w:rsidR="00367A20" w:rsidRDefault="00367A20" w:rsidP="00367A20">
      <w:pPr>
        <w:pStyle w:val="af5"/>
        <w:spacing w:before="12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Domestic Financing</w:t>
      </w:r>
    </w:p>
    <w:p w14:paraId="32C46A5A" w14:textId="77777777" w:rsidR="00367A20" w:rsidRDefault="00367A20" w:rsidP="00367A2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Lead Show (603272.SH)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2D7E9918" w14:textId="77777777" w:rsidR="00367A20" w:rsidRDefault="00367A20" w:rsidP="00367A2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Huaertai (001217.SZ)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2D1B6750" w14:textId="77777777" w:rsidR="00367A20" w:rsidRDefault="00367A20" w:rsidP="00367A2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Chenguang New Materials (605399.SH)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3BA33638" w14:textId="77777777" w:rsidR="00367A20" w:rsidRDefault="00367A20" w:rsidP="00367A2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Sanyou Medical (688085.SH)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138F1F5A" w14:textId="77777777" w:rsidR="00367A20" w:rsidRDefault="00367A20" w:rsidP="00367A2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Hainan Mining (601969.SH)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22A6018B" w14:textId="77777777" w:rsidR="00367A20" w:rsidRDefault="00367A20" w:rsidP="00367A2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Universal Scientific (601231.SH)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720D2309" w14:textId="77777777" w:rsidR="00367A20" w:rsidRDefault="00367A20" w:rsidP="00367A2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WUS Printed (002463.SZ)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7E0BCF66" w14:textId="77777777" w:rsidR="00367A20" w:rsidRDefault="00367A20" w:rsidP="00367A2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MicuRx Pharmaceutical (Registered)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13C80C30" w14:textId="77777777" w:rsidR="00367A20" w:rsidRDefault="00367A20" w:rsidP="00367A2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Universal Scientific (601231.SH)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private share placement</w:t>
      </w:r>
    </w:p>
    <w:p w14:paraId="06E5EB05" w14:textId="77777777" w:rsidR="00367A20" w:rsidRDefault="00367A20" w:rsidP="00367A2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Yunnan Salt and Chemical (002053.SZ)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private share placement</w:t>
      </w:r>
    </w:p>
    <w:p w14:paraId="325F79E2" w14:textId="77777777" w:rsidR="00367A20" w:rsidRDefault="00367A20" w:rsidP="00367A2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Anjoy Foods (603345.SZ) as issuer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convertible debt projects</w:t>
      </w:r>
    </w:p>
    <w:p w14:paraId="023E7FA5" w14:textId="77777777" w:rsidR="00367A20" w:rsidRDefault="00367A20" w:rsidP="00367A2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NovelBeam (688677.SH) as underwriter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6B6277F1" w14:textId="77777777" w:rsidR="00367A20" w:rsidRDefault="00367A20" w:rsidP="00367A2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Endovascular (688016.SH) as underwriter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794F79DB" w14:textId="77777777" w:rsidR="00367A20" w:rsidRDefault="00367A20" w:rsidP="00367A2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HCFA (688320.SH) as underwriter</w:t>
      </w:r>
      <w:r w:rsidRPr="00367A20">
        <w:rPr>
          <w:rFonts w:ascii="等线" w:eastAsia="等线" w:hAnsi="Times New Roman"/>
          <w:color w:val="000000"/>
        </w:rPr>
        <w:t>’</w:t>
      </w:r>
      <w:r w:rsidRPr="00367A20">
        <w:rPr>
          <w:rFonts w:ascii="等线" w:eastAsia="等线" w:hAnsi="Times New Roman"/>
          <w:color w:val="000000"/>
        </w:rPr>
        <w:t>s counsel in its A-share IPO</w:t>
      </w:r>
    </w:p>
    <w:p w14:paraId="4561E447" w14:textId="77777777" w:rsidR="00367A20" w:rsidRDefault="00367A20" w:rsidP="00367A20">
      <w:pPr>
        <w:pStyle w:val="af5"/>
        <w:spacing w:before="12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Overseas Financing</w:t>
      </w:r>
    </w:p>
    <w:p w14:paraId="33D584A6" w14:textId="77777777" w:rsidR="00367A20" w:rsidRDefault="00367A20" w:rsidP="00367A2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Tuya Smart (NYSE: TUYA) as PRC counsel in its NYSE IPO</w:t>
      </w:r>
    </w:p>
    <w:p w14:paraId="65673794" w14:textId="77777777" w:rsidR="00367A20" w:rsidRDefault="00367A20" w:rsidP="00367A2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Junshi Bio (1877.HK) as PRC counsel in its H-share IPO and its H-share follow-on offerings</w:t>
      </w:r>
    </w:p>
    <w:p w14:paraId="403222EE" w14:textId="77777777" w:rsidR="00367A20" w:rsidRDefault="00367A20" w:rsidP="00367A2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Fosun Pharma (2196.HK) as PRC counsel in its H-share IPO and its H-share follow-on offerings</w:t>
      </w:r>
    </w:p>
    <w:p w14:paraId="35563D2B" w14:textId="77777777" w:rsidR="00367A20" w:rsidRDefault="00367A20" w:rsidP="00367A2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Sinopharm (1099.HK) as PRC counsel in its H-share IPO and its H-share follow-on offerings</w:t>
      </w:r>
    </w:p>
    <w:p w14:paraId="2D7E4C18" w14:textId="77777777" w:rsidR="00367A20" w:rsidRDefault="00367A20" w:rsidP="00367A2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Gland Pharma (NSE: GLAD) as PRC counsel in its spin-off from Fosun Pharma and its listing in India</w:t>
      </w:r>
    </w:p>
    <w:p w14:paraId="4205650F" w14:textId="77777777" w:rsidR="00367A20" w:rsidRDefault="00367A20" w:rsidP="00367A2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Wuxi Apptec (603259.SH and 2359.HK) as underwriters' counsel in its A-share and H-share offering</w:t>
      </w:r>
    </w:p>
    <w:p w14:paraId="3F722C8D" w14:textId="77777777" w:rsidR="00367A20" w:rsidRDefault="00367A20" w:rsidP="00367A2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Henlius (2696.HK) as underwriters' counsel in its H-share IPO</w:t>
      </w:r>
    </w:p>
    <w:p w14:paraId="1DC5C593" w14:textId="77777777" w:rsidR="00367A20" w:rsidRDefault="00367A20" w:rsidP="00367A2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Acted for Ark Bio as underwriters' counsel in its H-share IPO</w:t>
      </w:r>
    </w:p>
    <w:p w14:paraId="14C13FE1" w14:textId="77777777" w:rsidR="00367A20" w:rsidRDefault="00367A20" w:rsidP="00367A20">
      <w:pPr>
        <w:pStyle w:val="af5"/>
        <w:spacing w:before="12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Others</w:t>
      </w:r>
    </w:p>
    <w:p w14:paraId="19D9661F" w14:textId="77777777" w:rsidR="00367A20" w:rsidRDefault="00367A20" w:rsidP="00367A2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Advised Endovascular, Sanyou Medical, Junshi Bio, Anjoy Foods, Techmation, Haid Group, WUS, and Fosun Pharma on general corporate matters</w:t>
      </w:r>
    </w:p>
    <w:p w14:paraId="6C7DA491" w14:textId="77777777" w:rsidR="00367A20" w:rsidRDefault="00367A20" w:rsidP="00367A2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CSC Shipping in issuing shares and paying cash to purchase Boya Technology and in raising matching funds</w:t>
      </w:r>
    </w:p>
    <w:p w14:paraId="12AA19A6" w14:textId="77777777" w:rsidR="00367A20" w:rsidRDefault="00367A20" w:rsidP="00367A2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China Trade Logistics in issuing shares and paying cash to purchase Zhongte Logistics and in raising matching funds</w:t>
      </w:r>
    </w:p>
    <w:p w14:paraId="4940B313" w14:textId="77777777" w:rsidR="00367A20" w:rsidRDefault="00367A20" w:rsidP="00367A2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Anjing Food in its acquisition of Hongye Aquatic</w:t>
      </w:r>
    </w:p>
    <w:p w14:paraId="36D13C96" w14:textId="77777777" w:rsidR="00367A20" w:rsidRDefault="00367A20" w:rsidP="00367A2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Akcome Group in its acquisitions of MSH Insurance Company in France and Zhenjing Clinic in the US</w:t>
      </w:r>
    </w:p>
    <w:p w14:paraId="3B2D176F" w14:textId="77777777" w:rsidR="00367A20" w:rsidRDefault="00367A20" w:rsidP="00367A2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Monfali in its acquisition of all shares in Ojiahua, a listed company in Malaysia</w:t>
      </w:r>
    </w:p>
    <w:p w14:paraId="52D7E096" w14:textId="77777777" w:rsidR="00367A20" w:rsidRDefault="00367A20" w:rsidP="00367A2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China Trade Logistics in its cash acquisition of Dexiang Logistics</w:t>
      </w:r>
    </w:p>
    <w:p w14:paraId="2EF1D74C" w14:textId="77777777" w:rsidR="00367A20" w:rsidRDefault="00367A20" w:rsidP="00367A2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Hongxun Technology in its investment in Dongguan Zhiyin</w:t>
      </w:r>
    </w:p>
    <w:p w14:paraId="45F076BF" w14:textId="77777777" w:rsidR="00367A20" w:rsidRDefault="00367A20" w:rsidP="00367A2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Sanyou Medical in its acquisition of Shuimu Tianpeng</w:t>
      </w:r>
    </w:p>
    <w:p w14:paraId="7840064A" w14:textId="77777777" w:rsidR="00367A20" w:rsidRDefault="00367A20" w:rsidP="00367A2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Haida Group in its acquisitions of Depot and other companies</w:t>
      </w:r>
    </w:p>
    <w:p w14:paraId="0329ECC7" w14:textId="77777777" w:rsidR="00367A20" w:rsidRDefault="00367A20" w:rsidP="00367A20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American Warburg Pincus in its investments in Sida Restaurant Group, King Mother and Baby Products Retailer, and Red Star Macalline</w:t>
      </w:r>
    </w:p>
    <w:p w14:paraId="4ACBFFD8" w14:textId="77777777" w:rsidR="00367A20" w:rsidRDefault="00367A20" w:rsidP="00367A20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Linxin Capital in its investments in Canxin, Core Long March and Junxin Electronics</w:t>
      </w:r>
    </w:p>
    <w:p w14:paraId="2704BC7F" w14:textId="77777777" w:rsidR="00367A20" w:rsidRDefault="00367A20" w:rsidP="00367A20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Juntong Capital in its investments in Hongsoft Technology, Lanqi Technology and Broadcom Technology</w:t>
      </w:r>
    </w:p>
    <w:p w14:paraId="0BAE053A" w14:textId="77777777" w:rsidR="00367A20" w:rsidRDefault="00367A20" w:rsidP="00367A20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True Gold Fund in its investment in Shangxun Information</w:t>
      </w:r>
    </w:p>
    <w:p w14:paraId="65D7393F" w14:textId="77777777" w:rsidR="00367A20" w:rsidRDefault="00367A20" w:rsidP="00367A20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Ping An Trust in its investment in Xi'an Ruilian</w:t>
      </w:r>
    </w:p>
    <w:p w14:paraId="251B6633" w14:textId="77777777" w:rsidR="00367A20" w:rsidRDefault="00367A20" w:rsidP="00367A20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Huagai Capital and Junlian Capital in their investments in the Series C financing of Motorcomm and in the Series A+ and Series B financing of MicuRx Pharmaceutical, a leading mother and baby e-commerce company</w:t>
      </w:r>
    </w:p>
    <w:p w14:paraId="261E5098" w14:textId="77777777" w:rsidR="00367A20" w:rsidRDefault="00367A20" w:rsidP="00367A20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Represented Xinhua Capital in its investments in Henlius and other companies</w:t>
      </w:r>
    </w:p>
    <w:p w14:paraId="246B455B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Education</w:t>
      </w:r>
    </w:p>
    <w:p w14:paraId="0891B3DB" w14:textId="77777777" w:rsidR="00367A20" w:rsidRDefault="00367A20" w:rsidP="00367A20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East China University of Political Science and Law, School of Law, LL.B.</w:t>
      </w:r>
    </w:p>
    <w:p w14:paraId="34323C32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Professional Qualification</w:t>
      </w:r>
    </w:p>
    <w:p w14:paraId="351A5CFF" w14:textId="77777777" w:rsidR="00367A20" w:rsidRDefault="00367A20" w:rsidP="00367A20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Admitted to practice in the PRC</w:t>
      </w:r>
    </w:p>
    <w:p w14:paraId="16CF8124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Work Language</w:t>
      </w:r>
    </w:p>
    <w:p w14:paraId="5903A340" w14:textId="77777777" w:rsidR="00367A20" w:rsidRDefault="00367A20" w:rsidP="00367A20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Chinese</w:t>
      </w:r>
    </w:p>
    <w:p w14:paraId="1CA91A8C" w14:textId="77777777" w:rsidR="00367A20" w:rsidRDefault="00367A20" w:rsidP="00367A20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English</w:t>
      </w:r>
    </w:p>
    <w:p w14:paraId="6445E2B7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Professional Background</w:t>
      </w:r>
    </w:p>
    <w:p w14:paraId="3CDAF451" w14:textId="77777777" w:rsidR="00367A20" w:rsidRDefault="00367A20" w:rsidP="00367A20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Ms. Chen joined the Shanghai Office of Fangda Partners in 2022. She is a member of the Securities Business Research Committee of the Shanghai Bar Association.</w:t>
      </w:r>
    </w:p>
    <w:p w14:paraId="2C1877B1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OTHER INFORMATION</w:t>
      </w:r>
    </w:p>
    <w:p w14:paraId="3DB58530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Publications</w:t>
      </w:r>
    </w:p>
    <w:p w14:paraId="4A1D1CFA" w14:textId="77777777" w:rsidR="00367A20" w:rsidRDefault="00367A20" w:rsidP="00367A20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>Participated in the compilation of "Practice of Securities Law Practice for Lawyers" published by Law Press</w:t>
      </w:r>
      <w:r w:rsidRPr="00367A20">
        <w:rPr>
          <w:rFonts w:ascii="等线" w:eastAsia="等线" w:hAnsi="Times New Roman"/>
          <w:color w:val="000000"/>
        </w:rPr>
        <w:t>·</w:t>
      </w:r>
      <w:r w:rsidRPr="00367A20">
        <w:rPr>
          <w:rFonts w:ascii="等线" w:eastAsia="等线" w:hAnsi="Times New Roman"/>
          <w:color w:val="000000"/>
        </w:rPr>
        <w:t xml:space="preserve">China </w:t>
      </w:r>
    </w:p>
    <w:p w14:paraId="7D615EBA" w14:textId="77777777" w:rsidR="00367A20" w:rsidRDefault="00367A20" w:rsidP="00367A2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67A20">
        <w:rPr>
          <w:rFonts w:ascii="等线" w:eastAsia="等线" w:hAnsi="等线"/>
          <w:b/>
          <w:sz w:val="24"/>
        </w:rPr>
        <w:t>Professional Affiliations</w:t>
      </w:r>
    </w:p>
    <w:p w14:paraId="64DCD189" w14:textId="77777777" w:rsidR="00367A20" w:rsidRDefault="00367A20" w:rsidP="00367A20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 xml:space="preserve">Member of the Securities Business Research Committee of the Shanghai Bar Association </w:t>
      </w:r>
    </w:p>
    <w:p w14:paraId="5567FC3C" w14:textId="1695EBF4" w:rsidR="00686369" w:rsidRPr="00367A20" w:rsidRDefault="00367A20" w:rsidP="00367A20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67A20">
        <w:rPr>
          <w:rFonts w:ascii="等线" w:eastAsia="等线" w:hAnsi="Times New Roman"/>
          <w:color w:val="000000"/>
        </w:rPr>
        <w:t xml:space="preserve">Member of the Lujiazui-Shanghai No.2 Branch Committee of The Revolutionary Committee of the Chinese Kuomintang </w:t>
      </w:r>
    </w:p>
    <w:sectPr w:rsidR="00686369" w:rsidRPr="00367A2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D31"/>
    <w:multiLevelType w:val="singleLevel"/>
    <w:tmpl w:val="DFA8E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1C3AC2"/>
    <w:multiLevelType w:val="singleLevel"/>
    <w:tmpl w:val="BD18E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6227B4"/>
    <w:multiLevelType w:val="singleLevel"/>
    <w:tmpl w:val="CCE64F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AD5DE5"/>
    <w:multiLevelType w:val="singleLevel"/>
    <w:tmpl w:val="21121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8977FA"/>
    <w:multiLevelType w:val="singleLevel"/>
    <w:tmpl w:val="474ED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68F5EA0"/>
    <w:multiLevelType w:val="singleLevel"/>
    <w:tmpl w:val="DA882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8A5559B"/>
    <w:multiLevelType w:val="singleLevel"/>
    <w:tmpl w:val="D730D4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AB57158"/>
    <w:multiLevelType w:val="singleLevel"/>
    <w:tmpl w:val="D23CE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677E52"/>
    <w:multiLevelType w:val="singleLevel"/>
    <w:tmpl w:val="57D4B3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08B470F"/>
    <w:multiLevelType w:val="singleLevel"/>
    <w:tmpl w:val="9404D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1372799"/>
    <w:multiLevelType w:val="singleLevel"/>
    <w:tmpl w:val="DE12F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52434D1"/>
    <w:multiLevelType w:val="singleLevel"/>
    <w:tmpl w:val="43241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B63564F"/>
    <w:multiLevelType w:val="singleLevel"/>
    <w:tmpl w:val="E960A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FA7749D"/>
    <w:multiLevelType w:val="singleLevel"/>
    <w:tmpl w:val="F9386B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0812795"/>
    <w:multiLevelType w:val="singleLevel"/>
    <w:tmpl w:val="2926E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40F0A1C"/>
    <w:multiLevelType w:val="singleLevel"/>
    <w:tmpl w:val="927AF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7911D49"/>
    <w:multiLevelType w:val="singleLevel"/>
    <w:tmpl w:val="303E3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AF07330"/>
    <w:multiLevelType w:val="singleLevel"/>
    <w:tmpl w:val="75CA5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E570959"/>
    <w:multiLevelType w:val="singleLevel"/>
    <w:tmpl w:val="92461D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50C509B"/>
    <w:multiLevelType w:val="singleLevel"/>
    <w:tmpl w:val="90B4AE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6EC38DA"/>
    <w:multiLevelType w:val="singleLevel"/>
    <w:tmpl w:val="0F220F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8820DF3"/>
    <w:multiLevelType w:val="singleLevel"/>
    <w:tmpl w:val="6952D8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9B518C9"/>
    <w:multiLevelType w:val="singleLevel"/>
    <w:tmpl w:val="F2844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3BBE26B0"/>
    <w:multiLevelType w:val="singleLevel"/>
    <w:tmpl w:val="AFA83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FC47B00"/>
    <w:multiLevelType w:val="singleLevel"/>
    <w:tmpl w:val="1B84E0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1824F0D"/>
    <w:multiLevelType w:val="singleLevel"/>
    <w:tmpl w:val="5FEC6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B0D7DF5"/>
    <w:multiLevelType w:val="singleLevel"/>
    <w:tmpl w:val="F4004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B0E283C"/>
    <w:multiLevelType w:val="singleLevel"/>
    <w:tmpl w:val="F4261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5F27350"/>
    <w:multiLevelType w:val="singleLevel"/>
    <w:tmpl w:val="B26AFF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A2D3B6D"/>
    <w:multiLevelType w:val="singleLevel"/>
    <w:tmpl w:val="E1E81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B5A543F"/>
    <w:multiLevelType w:val="singleLevel"/>
    <w:tmpl w:val="21121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B906E0B"/>
    <w:multiLevelType w:val="singleLevel"/>
    <w:tmpl w:val="6CBE3E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BC55698"/>
    <w:multiLevelType w:val="singleLevel"/>
    <w:tmpl w:val="BAA26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C097F18"/>
    <w:multiLevelType w:val="singleLevel"/>
    <w:tmpl w:val="B1467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DEC6ECE"/>
    <w:multiLevelType w:val="singleLevel"/>
    <w:tmpl w:val="CAC211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1F1183D"/>
    <w:multiLevelType w:val="singleLevel"/>
    <w:tmpl w:val="3984D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50E1D6B"/>
    <w:multiLevelType w:val="singleLevel"/>
    <w:tmpl w:val="16B6B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C222ED0"/>
    <w:multiLevelType w:val="singleLevel"/>
    <w:tmpl w:val="F41458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D786EE2"/>
    <w:multiLevelType w:val="singleLevel"/>
    <w:tmpl w:val="9C8A0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EEC1208"/>
    <w:multiLevelType w:val="singleLevel"/>
    <w:tmpl w:val="DD9061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EF62E8B"/>
    <w:multiLevelType w:val="singleLevel"/>
    <w:tmpl w:val="9198F2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0AC3CD4"/>
    <w:multiLevelType w:val="singleLevel"/>
    <w:tmpl w:val="A1780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5C42518"/>
    <w:multiLevelType w:val="singleLevel"/>
    <w:tmpl w:val="5E3481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7A71662"/>
    <w:multiLevelType w:val="singleLevel"/>
    <w:tmpl w:val="371C8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A154E52"/>
    <w:multiLevelType w:val="singleLevel"/>
    <w:tmpl w:val="2D546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280CD5"/>
    <w:multiLevelType w:val="singleLevel"/>
    <w:tmpl w:val="87926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4D19B7"/>
    <w:multiLevelType w:val="singleLevel"/>
    <w:tmpl w:val="FA5C2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BC57F7E"/>
    <w:multiLevelType w:val="singleLevel"/>
    <w:tmpl w:val="76F29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9"/>
  </w:num>
  <w:num w:numId="2">
    <w:abstractNumId w:val="24"/>
  </w:num>
  <w:num w:numId="3">
    <w:abstractNumId w:val="8"/>
  </w:num>
  <w:num w:numId="4">
    <w:abstractNumId w:val="40"/>
  </w:num>
  <w:num w:numId="5">
    <w:abstractNumId w:val="33"/>
  </w:num>
  <w:num w:numId="6">
    <w:abstractNumId w:val="37"/>
  </w:num>
  <w:num w:numId="7">
    <w:abstractNumId w:val="22"/>
  </w:num>
  <w:num w:numId="8">
    <w:abstractNumId w:val="13"/>
  </w:num>
  <w:num w:numId="9">
    <w:abstractNumId w:val="12"/>
  </w:num>
  <w:num w:numId="10">
    <w:abstractNumId w:val="6"/>
  </w:num>
  <w:num w:numId="11">
    <w:abstractNumId w:val="42"/>
  </w:num>
  <w:num w:numId="12">
    <w:abstractNumId w:val="14"/>
  </w:num>
  <w:num w:numId="13">
    <w:abstractNumId w:val="41"/>
  </w:num>
  <w:num w:numId="14">
    <w:abstractNumId w:val="17"/>
  </w:num>
  <w:num w:numId="15">
    <w:abstractNumId w:val="27"/>
  </w:num>
  <w:num w:numId="16">
    <w:abstractNumId w:val="26"/>
  </w:num>
  <w:num w:numId="17">
    <w:abstractNumId w:val="20"/>
  </w:num>
  <w:num w:numId="18">
    <w:abstractNumId w:val="1"/>
  </w:num>
  <w:num w:numId="19">
    <w:abstractNumId w:val="21"/>
  </w:num>
  <w:num w:numId="20">
    <w:abstractNumId w:val="39"/>
  </w:num>
  <w:num w:numId="21">
    <w:abstractNumId w:val="34"/>
  </w:num>
  <w:num w:numId="22">
    <w:abstractNumId w:val="38"/>
  </w:num>
  <w:num w:numId="23">
    <w:abstractNumId w:val="35"/>
  </w:num>
  <w:num w:numId="24">
    <w:abstractNumId w:val="0"/>
  </w:num>
  <w:num w:numId="25">
    <w:abstractNumId w:val="25"/>
  </w:num>
  <w:num w:numId="26">
    <w:abstractNumId w:val="5"/>
  </w:num>
  <w:num w:numId="27">
    <w:abstractNumId w:val="7"/>
  </w:num>
  <w:num w:numId="28">
    <w:abstractNumId w:val="10"/>
  </w:num>
  <w:num w:numId="29">
    <w:abstractNumId w:val="16"/>
  </w:num>
  <w:num w:numId="30">
    <w:abstractNumId w:val="28"/>
  </w:num>
  <w:num w:numId="31">
    <w:abstractNumId w:val="49"/>
  </w:num>
  <w:num w:numId="32">
    <w:abstractNumId w:val="47"/>
  </w:num>
  <w:num w:numId="33">
    <w:abstractNumId w:val="30"/>
  </w:num>
  <w:num w:numId="34">
    <w:abstractNumId w:val="45"/>
  </w:num>
  <w:num w:numId="35">
    <w:abstractNumId w:val="44"/>
  </w:num>
  <w:num w:numId="36">
    <w:abstractNumId w:val="9"/>
  </w:num>
  <w:num w:numId="37">
    <w:abstractNumId w:val="18"/>
  </w:num>
  <w:num w:numId="38">
    <w:abstractNumId w:val="46"/>
  </w:num>
  <w:num w:numId="39">
    <w:abstractNumId w:val="48"/>
  </w:num>
  <w:num w:numId="40">
    <w:abstractNumId w:val="4"/>
  </w:num>
  <w:num w:numId="41">
    <w:abstractNumId w:val="31"/>
  </w:num>
  <w:num w:numId="42">
    <w:abstractNumId w:val="11"/>
  </w:num>
  <w:num w:numId="43">
    <w:abstractNumId w:val="15"/>
  </w:num>
  <w:num w:numId="44">
    <w:abstractNumId w:val="23"/>
  </w:num>
  <w:num w:numId="45">
    <w:abstractNumId w:val="29"/>
  </w:num>
  <w:num w:numId="46">
    <w:abstractNumId w:val="2"/>
  </w:num>
  <w:num w:numId="47">
    <w:abstractNumId w:val="36"/>
  </w:num>
  <w:num w:numId="48">
    <w:abstractNumId w:val="43"/>
  </w:num>
  <w:num w:numId="49">
    <w:abstractNumId w:val="32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67A20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67A2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67A2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35F887-5838-487D-8AD0-8F086754F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3896</Characters>
  <Application>Microsoft Office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2026-09-18T01:16:00Z</dcterms:created>
  <dcterms:modified xsi:type="dcterms:W3CDTF">2026-09-18T01:16:00Z</dcterms:modified>
</cp:coreProperties>
</file>