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F4AC4CB" w:rsidR="0049405C" w:rsidRPr="00C24D79" w:rsidRDefault="00C65A22" w:rsidP="00C65A2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65A22">
              <w:rPr>
                <w:rFonts w:ascii="等线" w:eastAsia="等线" w:hAnsi="Times New Roman"/>
                <w:b/>
                <w:color w:val="000000"/>
                <w:sz w:val="48"/>
              </w:rPr>
              <w:t>YANMING CHEN</w:t>
            </w:r>
            <w:bookmarkEnd w:id="0"/>
          </w:p>
          <w:p w14:paraId="706EB16B" w14:textId="726CAB8F" w:rsidR="0049405C" w:rsidRPr="00C24D79" w:rsidRDefault="00C65A22" w:rsidP="00C65A2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65A22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C65A2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65A2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DFE8B0E" w:rsidR="0049405C" w:rsidRPr="00C24D79" w:rsidRDefault="00C65A22" w:rsidP="00C65A2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65A22">
              <w:rPr>
                <w:rFonts w:ascii="等线" w:eastAsia="等线" w:hAnsi="Times New Roman"/>
                <w:color w:val="000000"/>
              </w:rPr>
              <w:t xml:space="preserve">+86 21 6263 5990 </w:t>
            </w:r>
            <w:bookmarkEnd w:id="3"/>
          </w:p>
          <w:p w14:paraId="4F910ACA" w14:textId="39296689" w:rsidR="0049405C" w:rsidRPr="00C24D79" w:rsidRDefault="00C65A22" w:rsidP="00C65A2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65A22">
              <w:rPr>
                <w:rFonts w:ascii="等线" w:eastAsia="等线" w:hAnsi="Times New Roman"/>
                <w:color w:val="000000"/>
              </w:rPr>
              <w:t>yanming.chen@fangdalaw.com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204FE68" w:rsidR="0049405C" w:rsidRPr="00C24D79" w:rsidRDefault="00C65A2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4A0CC19" wp14:editId="0B05E58C">
                  <wp:extent cx="1651000" cy="219776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9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44F766E" w:rsidR="009465FB" w:rsidRPr="00C24D79" w:rsidRDefault="00C65A2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65A22">
              <w:rPr>
                <w:rFonts w:ascii="等线" w:eastAsia="等线" w:hAnsi="Times New Roman"/>
                <w:color w:val="000000"/>
                <w:szCs w:val="21"/>
              </w:rPr>
              <w:t>MR. CHEN SPECIALIZES IN CAPITAL MARKETS, M&amp;A, PRIVATE EQUITY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0D64F31" w14:textId="77777777" w:rsidR="00C65A2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BCEA345" w14:textId="77777777" w:rsidR="00C65A22" w:rsidRDefault="00C65A22" w:rsidP="00C65A2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65A22">
        <w:rPr>
          <w:rFonts w:ascii="等线" w:eastAsia="等线" w:hAnsi="等线"/>
          <w:b/>
          <w:sz w:val="24"/>
        </w:rPr>
        <w:t>REPRESENTATIVE MATTERS AND CASES</w:t>
      </w:r>
    </w:p>
    <w:p w14:paraId="06424A95" w14:textId="77777777" w:rsidR="00C65A22" w:rsidRDefault="00C65A22" w:rsidP="00C65A2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87C5DF9" w14:textId="77777777" w:rsidR="00C65A22" w:rsidRDefault="00C65A22" w:rsidP="00C65A2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5A22">
        <w:rPr>
          <w:rFonts w:ascii="等线" w:eastAsia="等线" w:hAnsi="Times New Roman"/>
          <w:color w:val="000000"/>
        </w:rPr>
        <w:t>Represented Ant Group in its A-share and H-share dual listing</w:t>
      </w:r>
    </w:p>
    <w:p w14:paraId="376631BD" w14:textId="77777777" w:rsidR="00C65A22" w:rsidRDefault="00C65A22" w:rsidP="00C65A2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5A22">
        <w:rPr>
          <w:rFonts w:ascii="等线" w:eastAsia="等线" w:hAnsi="Times New Roman"/>
          <w:color w:val="000000"/>
        </w:rPr>
        <w:t>Advised Alibaba Group on its investment through A-share exchangeable bond subscription of Red Star Macalline</w:t>
      </w:r>
    </w:p>
    <w:p w14:paraId="394E9742" w14:textId="77777777" w:rsidR="00C65A22" w:rsidRDefault="00C65A22" w:rsidP="00C65A2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5A22">
        <w:rPr>
          <w:rFonts w:ascii="等线" w:eastAsia="等线" w:hAnsi="Times New Roman"/>
          <w:color w:val="000000"/>
        </w:rPr>
        <w:t>Represented SIIC Environment Holdings Ltd. in its IPO and listing on the HKEX</w:t>
      </w:r>
    </w:p>
    <w:p w14:paraId="00A1E3C3" w14:textId="77777777" w:rsidR="00C65A22" w:rsidRDefault="00C65A22" w:rsidP="00C65A2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5A22">
        <w:rPr>
          <w:rFonts w:ascii="等线" w:eastAsia="等线" w:hAnsi="Times New Roman"/>
          <w:color w:val="000000"/>
        </w:rPr>
        <w:t>Advised Sinotrans Limited on its issuance of A shares and merger with Sinotrans Air Transportation Development Corporation Limited through share exchange</w:t>
      </w:r>
    </w:p>
    <w:p w14:paraId="77C9945F" w14:textId="77777777" w:rsidR="00C65A22" w:rsidRDefault="00C65A22" w:rsidP="00C65A2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5A22">
        <w:rPr>
          <w:rFonts w:ascii="等线" w:eastAsia="等线" w:hAnsi="Times New Roman"/>
          <w:color w:val="000000"/>
        </w:rPr>
        <w:t>Advised Sinopharm Group Co. Ltd. on its acquisition of the controlling stake in China National Scientific Instruments and Materials Co. Ltd.</w:t>
      </w:r>
    </w:p>
    <w:p w14:paraId="5E456B50" w14:textId="77777777" w:rsidR="00C65A22" w:rsidRDefault="00C65A22" w:rsidP="00C65A2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5A22">
        <w:rPr>
          <w:rFonts w:ascii="等线" w:eastAsia="等线" w:hAnsi="Times New Roman"/>
          <w:color w:val="000000"/>
        </w:rPr>
        <w:t>Advised a HK-listed company on its acquisition of photovoltaic energy projects</w:t>
      </w:r>
    </w:p>
    <w:p w14:paraId="3FCBD4FB" w14:textId="77777777" w:rsidR="00C65A22" w:rsidRDefault="00C65A22" w:rsidP="00C65A2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5A22">
        <w:rPr>
          <w:rFonts w:ascii="等线" w:eastAsia="等线" w:hAnsi="Times New Roman"/>
          <w:color w:val="000000"/>
        </w:rPr>
        <w:t>Advised Geometrical Perception and Learning Co., Ltd. on its financing</w:t>
      </w:r>
    </w:p>
    <w:p w14:paraId="1EA9EF8A" w14:textId="77777777" w:rsidR="00C65A22" w:rsidRDefault="00C65A22" w:rsidP="00C65A2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5A22">
        <w:rPr>
          <w:rFonts w:ascii="等线" w:eastAsia="等线" w:hAnsi="Times New Roman"/>
          <w:color w:val="000000"/>
        </w:rPr>
        <w:t>Represented Boyu Capital in its investment in ZEEKR Intelligent, an artificial intelligence company</w:t>
      </w:r>
    </w:p>
    <w:p w14:paraId="20DBC5BB" w14:textId="77777777" w:rsidR="00C65A22" w:rsidRDefault="00C65A22" w:rsidP="00C65A2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5A22">
        <w:rPr>
          <w:rFonts w:ascii="等线" w:eastAsia="等线" w:hAnsi="Times New Roman"/>
          <w:color w:val="000000"/>
        </w:rPr>
        <w:t>Represented Hillhouse in its investment in Sepax Technologies</w:t>
      </w:r>
    </w:p>
    <w:p w14:paraId="2E0E0AAF" w14:textId="77777777" w:rsidR="00C65A22" w:rsidRDefault="00C65A22" w:rsidP="00C65A2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5A22">
        <w:rPr>
          <w:rFonts w:ascii="等线" w:eastAsia="等线" w:hAnsi="Times New Roman"/>
          <w:color w:val="000000"/>
        </w:rPr>
        <w:t>Represented Primavera Capital in its investment in Jenscare</w:t>
      </w:r>
    </w:p>
    <w:p w14:paraId="56F74476" w14:textId="77777777" w:rsidR="00C65A22" w:rsidRDefault="00C65A22" w:rsidP="00C65A2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5A22">
        <w:rPr>
          <w:rFonts w:ascii="等线" w:eastAsia="等线" w:hAnsi="Times New Roman"/>
          <w:color w:val="000000"/>
        </w:rPr>
        <w:t>Represented Cathay Capital in its investment in Simpleway</w:t>
      </w:r>
    </w:p>
    <w:p w14:paraId="7F58C083" w14:textId="77777777" w:rsidR="00C65A22" w:rsidRDefault="00C65A22" w:rsidP="00C65A2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5A22">
        <w:rPr>
          <w:rFonts w:ascii="等线" w:eastAsia="等线" w:hAnsi="Times New Roman"/>
          <w:color w:val="000000"/>
        </w:rPr>
        <w:t>Represented CDBI and Maison Capital in their investments in Wallaby Medical</w:t>
      </w:r>
    </w:p>
    <w:p w14:paraId="1BA65C4A" w14:textId="77777777" w:rsidR="00C65A22" w:rsidRDefault="00C65A22" w:rsidP="00C65A2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65A22">
        <w:rPr>
          <w:rFonts w:ascii="等线" w:eastAsia="等线" w:hAnsi="等线"/>
          <w:b/>
          <w:sz w:val="24"/>
        </w:rPr>
        <w:t>Education</w:t>
      </w:r>
    </w:p>
    <w:p w14:paraId="0B7A3409" w14:textId="77777777" w:rsidR="00C65A22" w:rsidRDefault="00C65A22" w:rsidP="00C65A2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5A22">
        <w:rPr>
          <w:rFonts w:ascii="等线" w:eastAsia="等线" w:hAnsi="Times New Roman"/>
          <w:color w:val="000000"/>
        </w:rPr>
        <w:t>East China University of Political Science and Law, LL.B.</w:t>
      </w:r>
    </w:p>
    <w:p w14:paraId="46D20C01" w14:textId="77777777" w:rsidR="00C65A22" w:rsidRDefault="00C65A22" w:rsidP="00C65A2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65A22">
        <w:rPr>
          <w:rFonts w:ascii="等线" w:eastAsia="等线" w:hAnsi="等线"/>
          <w:b/>
          <w:sz w:val="24"/>
        </w:rPr>
        <w:t>Professional Qualification</w:t>
      </w:r>
    </w:p>
    <w:p w14:paraId="755FDACF" w14:textId="77777777" w:rsidR="00C65A22" w:rsidRDefault="00C65A22" w:rsidP="00C65A2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5A22">
        <w:rPr>
          <w:rFonts w:ascii="等线" w:eastAsia="等线" w:hAnsi="Times New Roman"/>
          <w:color w:val="000000"/>
        </w:rPr>
        <w:t>Admitted to practice in the PRC</w:t>
      </w:r>
    </w:p>
    <w:p w14:paraId="7BAA3F1B" w14:textId="77777777" w:rsidR="00C65A22" w:rsidRDefault="00C65A22" w:rsidP="00C65A2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65A22">
        <w:rPr>
          <w:rFonts w:ascii="等线" w:eastAsia="等线" w:hAnsi="等线"/>
          <w:b/>
          <w:sz w:val="24"/>
        </w:rPr>
        <w:t>Professional Background</w:t>
      </w:r>
    </w:p>
    <w:p w14:paraId="5567FC3C" w14:textId="4D43F83A" w:rsidR="00686369" w:rsidRPr="00C65A22" w:rsidRDefault="00C65A22" w:rsidP="00C65A2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5A22">
        <w:rPr>
          <w:rFonts w:ascii="等线" w:eastAsia="等线" w:hAnsi="Times New Roman"/>
          <w:color w:val="000000"/>
        </w:rPr>
        <w:t>Mr. Chen joined the firm in 2019. Before joining the firm, Mr. Chen worked at another leading Chinese law firm.</w:t>
      </w:r>
    </w:p>
    <w:sectPr w:rsidR="00686369" w:rsidRPr="00C65A2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1D9C"/>
    <w:multiLevelType w:val="singleLevel"/>
    <w:tmpl w:val="0298EA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0EB69B3"/>
    <w:multiLevelType w:val="singleLevel"/>
    <w:tmpl w:val="872C0B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1037141"/>
    <w:multiLevelType w:val="singleLevel"/>
    <w:tmpl w:val="FA8EA3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A51B83"/>
    <w:multiLevelType w:val="singleLevel"/>
    <w:tmpl w:val="1F6E3A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E63248"/>
    <w:multiLevelType w:val="singleLevel"/>
    <w:tmpl w:val="872C0B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3F30CA2"/>
    <w:multiLevelType w:val="singleLevel"/>
    <w:tmpl w:val="92CC0B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84369B3"/>
    <w:multiLevelType w:val="singleLevel"/>
    <w:tmpl w:val="71BCDA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62E5CC9"/>
    <w:multiLevelType w:val="singleLevel"/>
    <w:tmpl w:val="7EC0EC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B7141E3"/>
    <w:multiLevelType w:val="singleLevel"/>
    <w:tmpl w:val="864220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9A7D71"/>
    <w:multiLevelType w:val="singleLevel"/>
    <w:tmpl w:val="7C9A8E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4DF1B2B"/>
    <w:multiLevelType w:val="singleLevel"/>
    <w:tmpl w:val="93D6E7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CE8485B"/>
    <w:multiLevelType w:val="singleLevel"/>
    <w:tmpl w:val="32AA1C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A3B72A8"/>
    <w:multiLevelType w:val="singleLevel"/>
    <w:tmpl w:val="284088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3BE388C"/>
    <w:multiLevelType w:val="singleLevel"/>
    <w:tmpl w:val="1CC618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A8D5F3E"/>
    <w:multiLevelType w:val="singleLevel"/>
    <w:tmpl w:val="4F0C0E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A9701B6"/>
    <w:multiLevelType w:val="singleLevel"/>
    <w:tmpl w:val="28B043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2"/>
  </w:num>
  <w:num w:numId="3">
    <w:abstractNumId w:val="13"/>
  </w:num>
  <w:num w:numId="4">
    <w:abstractNumId w:val="8"/>
  </w:num>
  <w:num w:numId="5">
    <w:abstractNumId w:val="14"/>
  </w:num>
  <w:num w:numId="6">
    <w:abstractNumId w:val="2"/>
  </w:num>
  <w:num w:numId="7">
    <w:abstractNumId w:val="17"/>
  </w:num>
  <w:num w:numId="8">
    <w:abstractNumId w:val="11"/>
  </w:num>
  <w:num w:numId="9">
    <w:abstractNumId w:val="9"/>
  </w:num>
  <w:num w:numId="10">
    <w:abstractNumId w:val="6"/>
  </w:num>
  <w:num w:numId="11">
    <w:abstractNumId w:val="5"/>
  </w:num>
  <w:num w:numId="12">
    <w:abstractNumId w:val="3"/>
  </w:num>
  <w:num w:numId="13">
    <w:abstractNumId w:val="7"/>
  </w:num>
  <w:num w:numId="14">
    <w:abstractNumId w:val="15"/>
  </w:num>
  <w:num w:numId="15">
    <w:abstractNumId w:val="16"/>
  </w:num>
  <w:num w:numId="16">
    <w:abstractNumId w:val="0"/>
  </w:num>
  <w:num w:numId="17">
    <w:abstractNumId w:val="4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65A22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65A2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65A2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E74A965-4F7E-472C-9BCA-84AA3A12E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2026-10-08T04:12:00Z</dcterms:created>
  <dcterms:modified xsi:type="dcterms:W3CDTF">2026-10-08T04:12:00Z</dcterms:modified>
</cp:coreProperties>
</file>