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ED721BA" w:rsidR="0049405C" w:rsidRPr="00C24D79" w:rsidRDefault="00FB1444" w:rsidP="00FB1444">
            <w:pPr>
              <w:spacing w:line="720" w:lineRule="auto"/>
              <w:rPr>
                <w:rFonts w:eastAsiaTheme="minorHAnsi"/>
                <w:color w:val="545551"/>
              </w:rPr>
            </w:pPr>
            <w:bookmarkStart w:id="0" w:name="xingming"/>
            <w:bookmarkStart w:id="1" w:name="_GoBack"/>
            <w:bookmarkEnd w:id="1"/>
            <w:r w:rsidRPr="00FB1444">
              <w:rPr>
                <w:rFonts w:ascii="等线" w:eastAsia="等线" w:hAnsi="Times New Roman"/>
                <w:b/>
                <w:color w:val="000000"/>
                <w:sz w:val="48"/>
              </w:rPr>
              <w:t>STEPHEN LIU</w:t>
            </w:r>
            <w:bookmarkEnd w:id="0"/>
          </w:p>
          <w:p w14:paraId="706EB16B" w14:textId="6E358614" w:rsidR="0049405C" w:rsidRPr="00C24D79" w:rsidRDefault="00FB1444" w:rsidP="00FB1444">
            <w:pPr>
              <w:spacing w:line="360" w:lineRule="auto"/>
              <w:rPr>
                <w:rFonts w:eastAsiaTheme="minorHAnsi"/>
                <w:b/>
                <w:bCs/>
                <w:color w:val="545551"/>
              </w:rPr>
            </w:pPr>
            <w:bookmarkStart w:id="2" w:name="didian"/>
            <w:r w:rsidRPr="00FB1444">
              <w:rPr>
                <w:rFonts w:ascii="等线" w:eastAsia="等线" w:hAnsi="Times New Roman"/>
                <w:b/>
                <w:bCs/>
                <w:color w:val="000000"/>
              </w:rPr>
              <w:t>Partner</w:t>
            </w:r>
            <w:r w:rsidRPr="00FB1444">
              <w:rPr>
                <w:rFonts w:ascii="等线" w:eastAsia="等线" w:hAnsi="Times New Roman"/>
                <w:b/>
                <w:bCs/>
                <w:color w:val="000000"/>
              </w:rPr>
              <w:t>·</w:t>
            </w:r>
            <w:r w:rsidRPr="00FB1444">
              <w:rPr>
                <w:rFonts w:ascii="等线" w:eastAsia="等线" w:hAnsi="Times New Roman"/>
                <w:b/>
                <w:bCs/>
                <w:color w:val="000000"/>
              </w:rPr>
              <w:t>Beijing</w:t>
            </w:r>
            <w:bookmarkEnd w:id="2"/>
          </w:p>
          <w:p w14:paraId="6199424A" w14:textId="16659F3C" w:rsidR="0049405C" w:rsidRPr="00C24D79" w:rsidRDefault="00FB1444" w:rsidP="00FB1444">
            <w:pPr>
              <w:spacing w:line="360" w:lineRule="auto"/>
              <w:rPr>
                <w:rFonts w:eastAsiaTheme="minorHAnsi"/>
                <w:color w:val="545551"/>
              </w:rPr>
            </w:pPr>
            <w:bookmarkStart w:id="3" w:name="dianhua"/>
            <w:r w:rsidRPr="00FB1444">
              <w:rPr>
                <w:rFonts w:ascii="等线" w:eastAsia="等线" w:hAnsi="Times New Roman"/>
                <w:color w:val="000000"/>
              </w:rPr>
              <w:t xml:space="preserve">+86 10 5769 4218 </w:t>
            </w:r>
            <w:bookmarkEnd w:id="3"/>
          </w:p>
          <w:p w14:paraId="4F910ACA" w14:textId="539A7EE9" w:rsidR="0049405C" w:rsidRPr="00C24D79" w:rsidRDefault="00FB1444" w:rsidP="00FB1444">
            <w:pPr>
              <w:spacing w:line="360" w:lineRule="auto"/>
              <w:rPr>
                <w:rFonts w:eastAsiaTheme="minorHAnsi"/>
                <w:color w:val="000000"/>
              </w:rPr>
            </w:pPr>
            <w:bookmarkStart w:id="4" w:name="youxiang"/>
            <w:r w:rsidRPr="00FB1444">
              <w:rPr>
                <w:rFonts w:ascii="等线" w:eastAsia="等线" w:hAnsi="Times New Roman"/>
                <w:color w:val="000000"/>
              </w:rPr>
              <w:t>Stephen.Liu@fangdalaw.com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50EADC3" w:rsidR="0049405C" w:rsidRPr="00C24D79" w:rsidRDefault="00FB144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F2CDC3E" wp14:editId="6300165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903A0BC" w:rsidR="009465FB" w:rsidRPr="00C24D79" w:rsidRDefault="00FB1444" w:rsidP="007177F3">
            <w:pPr>
              <w:rPr>
                <w:rFonts w:eastAsiaTheme="minorHAnsi"/>
                <w:color w:val="000000"/>
                <w:szCs w:val="21"/>
              </w:rPr>
            </w:pPr>
            <w:bookmarkStart w:id="6" w:name="zhiyelingyu"/>
            <w:r w:rsidRPr="00FB1444">
              <w:rPr>
                <w:rFonts w:ascii="等线" w:eastAsia="等线" w:hAnsi="Times New Roman"/>
                <w:color w:val="000000"/>
                <w:szCs w:val="21"/>
              </w:rPr>
              <w:t>Mr. Liu</w:t>
            </w:r>
            <w:r w:rsidRPr="00FB1444">
              <w:rPr>
                <w:rFonts w:ascii="等线" w:eastAsia="等线" w:hAnsi="Times New Roman"/>
                <w:color w:val="000000"/>
                <w:szCs w:val="21"/>
              </w:rPr>
              <w:t>’</w:t>
            </w:r>
            <w:r w:rsidRPr="00FB1444">
              <w:rPr>
                <w:rFonts w:ascii="等线" w:eastAsia="等线" w:hAnsi="Times New Roman"/>
                <w:color w:val="000000"/>
                <w:szCs w:val="21"/>
              </w:rPr>
              <w:t>s primary practice areas include M&amp;A, private equity and venture capital financing, and general corporate and commercial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3BD0E86" w14:textId="77777777" w:rsidR="00FB144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FC47FF0" w14:textId="77777777" w:rsidR="00FB1444" w:rsidRDefault="00FB1444" w:rsidP="00FB1444">
      <w:pPr>
        <w:pStyle w:val="af5"/>
        <w:spacing w:after="0" w:line="480" w:lineRule="auto"/>
        <w:rPr>
          <w:rFonts w:ascii="等线" w:eastAsia="等线" w:hAnsi="等线"/>
          <w:b/>
          <w:sz w:val="24"/>
        </w:rPr>
      </w:pPr>
      <w:r w:rsidRPr="00FB1444">
        <w:rPr>
          <w:rFonts w:ascii="等线" w:eastAsia="等线" w:hAnsi="等线"/>
          <w:b/>
          <w:sz w:val="24"/>
        </w:rPr>
        <w:t>REPRESENTATIVE MATTERS AND CASES</w:t>
      </w:r>
    </w:p>
    <w:p w14:paraId="06E4289D" w14:textId="77777777" w:rsidR="00FB1444" w:rsidRDefault="00FB1444" w:rsidP="00FB1444">
      <w:pPr>
        <w:pStyle w:val="af5"/>
        <w:spacing w:before="120"/>
        <w:rPr>
          <w:rFonts w:ascii="等线" w:eastAsia="等线" w:hAnsi="Times New Roman"/>
          <w:color w:val="000000"/>
        </w:rPr>
      </w:pPr>
      <w:r w:rsidRPr="00FB1444">
        <w:rPr>
          <w:rFonts w:ascii="等线" w:eastAsia="等线" w:hAnsi="Times New Roman"/>
          <w:color w:val="000000"/>
        </w:rPr>
        <w:t>M&amp;A/FDI</w:t>
      </w:r>
    </w:p>
    <w:p w14:paraId="059ADE90" w14:textId="77777777" w:rsidR="00FB1444" w:rsidRDefault="00FB1444" w:rsidP="00FB1444">
      <w:pPr>
        <w:pStyle w:val="af5"/>
        <w:numPr>
          <w:ilvl w:val="0"/>
          <w:numId w:val="4"/>
        </w:numPr>
        <w:spacing w:before="120"/>
        <w:ind w:left="690" w:hanging="240"/>
        <w:rPr>
          <w:rFonts w:ascii="等线" w:eastAsia="等线" w:hAnsi="Times New Roman"/>
          <w:color w:val="000000"/>
        </w:rPr>
      </w:pPr>
      <w:r w:rsidRPr="00FB1444">
        <w:rPr>
          <w:rFonts w:ascii="等线" w:eastAsia="等线" w:hAnsi="Times New Roman"/>
          <w:color w:val="000000"/>
        </w:rPr>
        <w:t>Represented VNET Group in its acquisition of TenxCloud</w:t>
      </w:r>
    </w:p>
    <w:p w14:paraId="4940A033" w14:textId="77777777" w:rsidR="00FB1444" w:rsidRDefault="00FB1444" w:rsidP="00FB1444">
      <w:pPr>
        <w:pStyle w:val="af5"/>
        <w:numPr>
          <w:ilvl w:val="0"/>
          <w:numId w:val="5"/>
        </w:numPr>
        <w:spacing w:before="120"/>
        <w:ind w:left="690" w:hanging="240"/>
        <w:rPr>
          <w:rFonts w:ascii="等线" w:eastAsia="等线" w:hAnsi="Times New Roman"/>
          <w:color w:val="000000"/>
        </w:rPr>
      </w:pPr>
      <w:r w:rsidRPr="00FB1444">
        <w:rPr>
          <w:rFonts w:ascii="等线" w:eastAsia="等线" w:hAnsi="Times New Roman"/>
          <w:color w:val="000000"/>
        </w:rPr>
        <w:t>Represented a buyout fund in its proposed acquisition of Yinlu Food from Nestle</w:t>
      </w:r>
    </w:p>
    <w:p w14:paraId="707EEBC7" w14:textId="77777777" w:rsidR="00FB1444" w:rsidRDefault="00FB1444" w:rsidP="00FB1444">
      <w:pPr>
        <w:pStyle w:val="af5"/>
        <w:numPr>
          <w:ilvl w:val="0"/>
          <w:numId w:val="6"/>
        </w:numPr>
        <w:spacing w:before="120"/>
        <w:ind w:left="690" w:hanging="240"/>
        <w:rPr>
          <w:rFonts w:ascii="等线" w:eastAsia="等线" w:hAnsi="Times New Roman"/>
          <w:color w:val="000000"/>
        </w:rPr>
      </w:pPr>
      <w:r w:rsidRPr="00FB1444">
        <w:rPr>
          <w:rFonts w:ascii="等线" w:eastAsia="等线" w:hAnsi="Times New Roman"/>
          <w:color w:val="000000"/>
        </w:rPr>
        <w:t>Represented Belle in its acquisition of 73 Hours</w:t>
      </w:r>
    </w:p>
    <w:p w14:paraId="2BDCD900" w14:textId="77777777" w:rsidR="00FB1444" w:rsidRDefault="00FB1444" w:rsidP="00FB1444">
      <w:pPr>
        <w:pStyle w:val="af5"/>
        <w:numPr>
          <w:ilvl w:val="0"/>
          <w:numId w:val="7"/>
        </w:numPr>
        <w:spacing w:before="120"/>
        <w:ind w:left="690" w:hanging="240"/>
        <w:rPr>
          <w:rFonts w:ascii="等线" w:eastAsia="等线" w:hAnsi="Times New Roman"/>
          <w:color w:val="000000"/>
        </w:rPr>
      </w:pPr>
      <w:r w:rsidRPr="00FB1444">
        <w:rPr>
          <w:rFonts w:ascii="等线" w:eastAsia="等线" w:hAnsi="Times New Roman"/>
          <w:color w:val="000000"/>
        </w:rPr>
        <w:t>Represented Warburg Pincus in its acquisition of Leyou</w:t>
      </w:r>
    </w:p>
    <w:p w14:paraId="7DEB5086" w14:textId="77777777" w:rsidR="00FB1444" w:rsidRDefault="00FB1444" w:rsidP="00FB1444">
      <w:pPr>
        <w:pStyle w:val="af5"/>
        <w:numPr>
          <w:ilvl w:val="0"/>
          <w:numId w:val="8"/>
        </w:numPr>
        <w:spacing w:before="120"/>
        <w:ind w:left="690" w:hanging="240"/>
        <w:rPr>
          <w:rFonts w:ascii="等线" w:eastAsia="等线" w:hAnsi="Times New Roman"/>
          <w:color w:val="000000"/>
        </w:rPr>
      </w:pPr>
      <w:r w:rsidRPr="00FB1444">
        <w:rPr>
          <w:rFonts w:ascii="等线" w:eastAsia="等线" w:hAnsi="Times New Roman"/>
          <w:color w:val="000000"/>
        </w:rPr>
        <w:t>Represented Jingyou Century in its sale of its controlling stake in Genilex to LexisNexis</w:t>
      </w:r>
    </w:p>
    <w:p w14:paraId="4A65E9CE" w14:textId="77777777" w:rsidR="00FB1444" w:rsidRDefault="00FB1444" w:rsidP="00FB1444">
      <w:pPr>
        <w:pStyle w:val="af5"/>
        <w:numPr>
          <w:ilvl w:val="0"/>
          <w:numId w:val="9"/>
        </w:numPr>
        <w:spacing w:before="120"/>
        <w:ind w:left="690" w:hanging="240"/>
        <w:rPr>
          <w:rFonts w:ascii="等线" w:eastAsia="等线" w:hAnsi="Times New Roman"/>
          <w:color w:val="000000"/>
        </w:rPr>
      </w:pPr>
      <w:r w:rsidRPr="00FB1444">
        <w:rPr>
          <w:rFonts w:ascii="等线" w:eastAsia="等线" w:hAnsi="Times New Roman"/>
          <w:color w:val="000000"/>
        </w:rPr>
        <w:t>Represented Hillhouse in its acquisition of Pfizer</w:t>
      </w:r>
      <w:r w:rsidRPr="00FB1444">
        <w:rPr>
          <w:rFonts w:ascii="等线" w:eastAsia="等线" w:hAnsi="Times New Roman"/>
          <w:color w:val="000000"/>
        </w:rPr>
        <w:t>’</w:t>
      </w:r>
      <w:r w:rsidRPr="00FB1444">
        <w:rPr>
          <w:rFonts w:ascii="等线" w:eastAsia="等线" w:hAnsi="Times New Roman"/>
          <w:color w:val="000000"/>
        </w:rPr>
        <w:t>s equity interest in a Sino-US pharmaceutical JV</w:t>
      </w:r>
    </w:p>
    <w:p w14:paraId="49350E05" w14:textId="77777777" w:rsidR="00FB1444" w:rsidRDefault="00FB1444" w:rsidP="00FB1444">
      <w:pPr>
        <w:pStyle w:val="af5"/>
        <w:numPr>
          <w:ilvl w:val="0"/>
          <w:numId w:val="10"/>
        </w:numPr>
        <w:spacing w:before="120"/>
        <w:ind w:left="690" w:hanging="240"/>
        <w:rPr>
          <w:rFonts w:ascii="等线" w:eastAsia="等线" w:hAnsi="Times New Roman"/>
          <w:color w:val="000000"/>
        </w:rPr>
      </w:pPr>
      <w:r w:rsidRPr="00FB1444">
        <w:rPr>
          <w:rFonts w:ascii="等线" w:eastAsia="等线" w:hAnsi="Times New Roman"/>
          <w:color w:val="000000"/>
        </w:rPr>
        <w:t>Represented Hillhouse in its acquisition of a pharmaceutical company focusing on the R&amp;D and production of anti-tumor drugs</w:t>
      </w:r>
    </w:p>
    <w:p w14:paraId="05357EEC" w14:textId="77777777" w:rsidR="00FB1444" w:rsidRDefault="00FB1444" w:rsidP="00FB1444">
      <w:pPr>
        <w:pStyle w:val="af5"/>
        <w:numPr>
          <w:ilvl w:val="0"/>
          <w:numId w:val="11"/>
        </w:numPr>
        <w:spacing w:before="120"/>
        <w:ind w:left="690" w:hanging="240"/>
        <w:rPr>
          <w:rFonts w:ascii="等线" w:eastAsia="等线" w:hAnsi="Times New Roman"/>
          <w:color w:val="000000"/>
        </w:rPr>
      </w:pPr>
      <w:r w:rsidRPr="00FB1444">
        <w:rPr>
          <w:rFonts w:ascii="等线" w:eastAsia="等线" w:hAnsi="Times New Roman"/>
          <w:color w:val="000000"/>
        </w:rPr>
        <w:t>Represented a Chinese drug producer in a technology licensing transaction with Pfizer</w:t>
      </w:r>
    </w:p>
    <w:p w14:paraId="2EA87456" w14:textId="77777777" w:rsidR="00FB1444" w:rsidRDefault="00FB1444" w:rsidP="00FB1444">
      <w:pPr>
        <w:pStyle w:val="af5"/>
        <w:numPr>
          <w:ilvl w:val="0"/>
          <w:numId w:val="12"/>
        </w:numPr>
        <w:spacing w:before="120"/>
        <w:ind w:left="690" w:hanging="240"/>
        <w:rPr>
          <w:rFonts w:ascii="等线" w:eastAsia="等线" w:hAnsi="Times New Roman"/>
          <w:color w:val="000000"/>
        </w:rPr>
      </w:pPr>
      <w:r w:rsidRPr="00FB1444">
        <w:rPr>
          <w:rFonts w:ascii="等线" w:eastAsia="等线" w:hAnsi="Times New Roman"/>
          <w:color w:val="000000"/>
        </w:rPr>
        <w:t>Represented investors in connection with the acquisition of Baidu Waimai by Eleme</w:t>
      </w:r>
    </w:p>
    <w:p w14:paraId="63CBE80C" w14:textId="77777777" w:rsidR="00FB1444" w:rsidRDefault="00FB1444" w:rsidP="00FB1444">
      <w:pPr>
        <w:pStyle w:val="af5"/>
        <w:numPr>
          <w:ilvl w:val="0"/>
          <w:numId w:val="13"/>
        </w:numPr>
        <w:spacing w:before="120"/>
        <w:ind w:left="690" w:hanging="240"/>
        <w:rPr>
          <w:rFonts w:ascii="等线" w:eastAsia="等线" w:hAnsi="Times New Roman"/>
          <w:color w:val="000000"/>
        </w:rPr>
      </w:pPr>
      <w:r w:rsidRPr="00FB1444">
        <w:rPr>
          <w:rFonts w:ascii="等线" w:eastAsia="等线" w:hAnsi="Times New Roman"/>
          <w:color w:val="000000"/>
        </w:rPr>
        <w:t>Represented investors in connection with the merger of HCB and YMM</w:t>
      </w:r>
    </w:p>
    <w:p w14:paraId="090702EE" w14:textId="77777777" w:rsidR="00FB1444" w:rsidRDefault="00FB1444" w:rsidP="00FB1444">
      <w:pPr>
        <w:pStyle w:val="af5"/>
        <w:numPr>
          <w:ilvl w:val="0"/>
          <w:numId w:val="14"/>
        </w:numPr>
        <w:spacing w:before="120"/>
        <w:ind w:left="690" w:hanging="240"/>
        <w:rPr>
          <w:rFonts w:ascii="等线" w:eastAsia="等线" w:hAnsi="Times New Roman"/>
          <w:color w:val="000000"/>
        </w:rPr>
      </w:pPr>
      <w:r w:rsidRPr="00FB1444">
        <w:rPr>
          <w:rFonts w:ascii="等线" w:eastAsia="等线" w:hAnsi="Times New Roman"/>
          <w:color w:val="000000"/>
        </w:rPr>
        <w:t>Represented an investor consortium in its proposed acquisition of a leading Australia medical group ICON</w:t>
      </w:r>
    </w:p>
    <w:p w14:paraId="495A5650" w14:textId="77777777" w:rsidR="00FB1444" w:rsidRDefault="00FB1444" w:rsidP="00FB1444">
      <w:pPr>
        <w:pStyle w:val="af5"/>
        <w:spacing w:before="120"/>
        <w:rPr>
          <w:rFonts w:ascii="等线" w:eastAsia="等线" w:hAnsi="Times New Roman"/>
          <w:color w:val="000000"/>
        </w:rPr>
      </w:pPr>
      <w:r w:rsidRPr="00FB1444">
        <w:rPr>
          <w:rFonts w:ascii="等线" w:eastAsia="等线" w:hAnsi="Times New Roman"/>
          <w:color w:val="000000"/>
        </w:rPr>
        <w:t>Private Equity/Venture Capital</w:t>
      </w:r>
    </w:p>
    <w:p w14:paraId="5E802F9B" w14:textId="77777777" w:rsidR="00FB1444" w:rsidRDefault="00FB1444" w:rsidP="00FB1444">
      <w:pPr>
        <w:pStyle w:val="af5"/>
        <w:numPr>
          <w:ilvl w:val="0"/>
          <w:numId w:val="15"/>
        </w:numPr>
        <w:spacing w:before="120"/>
        <w:ind w:left="690" w:hanging="240"/>
        <w:rPr>
          <w:rFonts w:ascii="等线" w:eastAsia="等线" w:hAnsi="Times New Roman"/>
          <w:color w:val="000000"/>
        </w:rPr>
      </w:pPr>
      <w:r w:rsidRPr="00FB1444">
        <w:rPr>
          <w:rFonts w:ascii="等线" w:eastAsia="等线" w:hAnsi="Times New Roman"/>
          <w:color w:val="000000"/>
        </w:rPr>
        <w:t>Represented CPE on its equity investment in Kindstar</w:t>
      </w:r>
    </w:p>
    <w:p w14:paraId="015D64AA" w14:textId="77777777" w:rsidR="00FB1444" w:rsidRDefault="00FB1444" w:rsidP="00FB1444">
      <w:pPr>
        <w:pStyle w:val="af5"/>
        <w:numPr>
          <w:ilvl w:val="0"/>
          <w:numId w:val="16"/>
        </w:numPr>
        <w:spacing w:before="120"/>
        <w:ind w:left="690" w:hanging="240"/>
        <w:rPr>
          <w:rFonts w:ascii="等线" w:eastAsia="等线" w:hAnsi="Times New Roman"/>
          <w:color w:val="000000"/>
        </w:rPr>
      </w:pPr>
      <w:r w:rsidRPr="00FB1444">
        <w:rPr>
          <w:rFonts w:ascii="等线" w:eastAsia="等线" w:hAnsi="Times New Roman"/>
          <w:color w:val="000000"/>
        </w:rPr>
        <w:t>Represented CPE on its equity investment in Geekplus+</w:t>
      </w:r>
    </w:p>
    <w:p w14:paraId="3028F0FD" w14:textId="77777777" w:rsidR="00FB1444" w:rsidRDefault="00FB1444" w:rsidP="00FB1444">
      <w:pPr>
        <w:pStyle w:val="af5"/>
        <w:numPr>
          <w:ilvl w:val="0"/>
          <w:numId w:val="17"/>
        </w:numPr>
        <w:spacing w:before="120"/>
        <w:ind w:left="690" w:hanging="240"/>
        <w:rPr>
          <w:rFonts w:ascii="等线" w:eastAsia="等线" w:hAnsi="Times New Roman"/>
          <w:color w:val="000000"/>
        </w:rPr>
      </w:pPr>
      <w:r w:rsidRPr="00FB1444">
        <w:rPr>
          <w:rFonts w:ascii="等线" w:eastAsia="等线" w:hAnsi="Times New Roman"/>
          <w:color w:val="000000"/>
        </w:rPr>
        <w:t>Represented CPE on its equity investment in DiDi Freight</w:t>
      </w:r>
    </w:p>
    <w:p w14:paraId="7D1C08DD" w14:textId="77777777" w:rsidR="00FB1444" w:rsidRDefault="00FB1444" w:rsidP="00FB1444">
      <w:pPr>
        <w:pStyle w:val="af5"/>
        <w:numPr>
          <w:ilvl w:val="0"/>
          <w:numId w:val="18"/>
        </w:numPr>
        <w:spacing w:before="120"/>
        <w:ind w:left="690" w:hanging="240"/>
        <w:rPr>
          <w:rFonts w:ascii="等线" w:eastAsia="等线" w:hAnsi="Times New Roman"/>
          <w:color w:val="000000"/>
        </w:rPr>
      </w:pPr>
      <w:r w:rsidRPr="00FB1444">
        <w:rPr>
          <w:rFonts w:ascii="等线" w:eastAsia="等线" w:hAnsi="Times New Roman"/>
          <w:color w:val="000000"/>
        </w:rPr>
        <w:t>Represented Affinity Equity Partners on its equity investment in Aland</w:t>
      </w:r>
    </w:p>
    <w:p w14:paraId="2C05737A" w14:textId="77777777" w:rsidR="00FB1444" w:rsidRDefault="00FB1444" w:rsidP="00FB1444">
      <w:pPr>
        <w:pStyle w:val="af5"/>
        <w:numPr>
          <w:ilvl w:val="0"/>
          <w:numId w:val="19"/>
        </w:numPr>
        <w:spacing w:before="120"/>
        <w:ind w:left="690" w:hanging="240"/>
        <w:rPr>
          <w:rFonts w:ascii="等线" w:eastAsia="等线" w:hAnsi="Times New Roman"/>
          <w:color w:val="000000"/>
        </w:rPr>
      </w:pPr>
      <w:r w:rsidRPr="00FB1444">
        <w:rPr>
          <w:rFonts w:ascii="等线" w:eastAsia="等线" w:hAnsi="Times New Roman"/>
          <w:color w:val="000000"/>
        </w:rPr>
        <w:t>Represented L Catterton Asia on its equity investment in Nebula Brands</w:t>
      </w:r>
    </w:p>
    <w:p w14:paraId="5918ADAD" w14:textId="77777777" w:rsidR="00FB1444" w:rsidRDefault="00FB1444" w:rsidP="00FB1444">
      <w:pPr>
        <w:pStyle w:val="af5"/>
        <w:numPr>
          <w:ilvl w:val="0"/>
          <w:numId w:val="20"/>
        </w:numPr>
        <w:spacing w:before="120"/>
        <w:ind w:left="690" w:hanging="240"/>
        <w:rPr>
          <w:rFonts w:ascii="等线" w:eastAsia="等线" w:hAnsi="Times New Roman"/>
          <w:color w:val="000000"/>
        </w:rPr>
      </w:pPr>
      <w:r w:rsidRPr="00FB1444">
        <w:rPr>
          <w:rFonts w:ascii="等线" w:eastAsia="等线" w:hAnsi="Times New Roman"/>
          <w:color w:val="000000"/>
        </w:rPr>
        <w:t>Represented L Catterton Asia in the restructuring and refinancing of US$175,000,000 in principal amount of convertible notes due 2021 issued by Secoo Holding Limited</w:t>
      </w:r>
    </w:p>
    <w:p w14:paraId="0298028F" w14:textId="77777777" w:rsidR="00FB1444" w:rsidRDefault="00FB1444" w:rsidP="00FB1444">
      <w:pPr>
        <w:pStyle w:val="af5"/>
        <w:numPr>
          <w:ilvl w:val="0"/>
          <w:numId w:val="21"/>
        </w:numPr>
        <w:spacing w:before="120"/>
        <w:ind w:left="690" w:hanging="240"/>
        <w:rPr>
          <w:rFonts w:ascii="等线" w:eastAsia="等线" w:hAnsi="Times New Roman"/>
          <w:color w:val="000000"/>
        </w:rPr>
      </w:pPr>
      <w:r w:rsidRPr="00FB1444">
        <w:rPr>
          <w:rFonts w:ascii="等线" w:eastAsia="等线" w:hAnsi="Times New Roman"/>
          <w:color w:val="000000"/>
        </w:rPr>
        <w:t>Represented CDH on its equity investment in Delta Medical</w:t>
      </w:r>
    </w:p>
    <w:p w14:paraId="7F4CA6DD" w14:textId="77777777" w:rsidR="00FB1444" w:rsidRDefault="00FB1444" w:rsidP="00FB1444">
      <w:pPr>
        <w:pStyle w:val="af5"/>
        <w:numPr>
          <w:ilvl w:val="0"/>
          <w:numId w:val="22"/>
        </w:numPr>
        <w:spacing w:before="120"/>
        <w:ind w:left="690" w:hanging="240"/>
        <w:rPr>
          <w:rFonts w:ascii="等线" w:eastAsia="等线" w:hAnsi="Times New Roman"/>
          <w:color w:val="000000"/>
        </w:rPr>
      </w:pPr>
      <w:r w:rsidRPr="00FB1444">
        <w:rPr>
          <w:rFonts w:ascii="等线" w:eastAsia="等线" w:hAnsi="Times New Roman"/>
          <w:color w:val="000000"/>
        </w:rPr>
        <w:t>Represented CDH on its equity investment in Innovative Cellular Therapeutics</w:t>
      </w:r>
    </w:p>
    <w:p w14:paraId="32AD0807" w14:textId="77777777" w:rsidR="00FB1444" w:rsidRDefault="00FB1444" w:rsidP="00FB1444">
      <w:pPr>
        <w:pStyle w:val="af5"/>
        <w:numPr>
          <w:ilvl w:val="0"/>
          <w:numId w:val="23"/>
        </w:numPr>
        <w:spacing w:before="120"/>
        <w:ind w:left="690" w:hanging="240"/>
        <w:rPr>
          <w:rFonts w:ascii="等线" w:eastAsia="等线" w:hAnsi="Times New Roman"/>
          <w:color w:val="000000"/>
        </w:rPr>
      </w:pPr>
      <w:r w:rsidRPr="00FB1444">
        <w:rPr>
          <w:rFonts w:ascii="等线" w:eastAsia="等线" w:hAnsi="Times New Roman"/>
          <w:color w:val="000000"/>
        </w:rPr>
        <w:t>Represented CDH in its equity investment in Rootpath</w:t>
      </w:r>
    </w:p>
    <w:p w14:paraId="56774BDE" w14:textId="77777777" w:rsidR="00FB1444" w:rsidRDefault="00FB1444" w:rsidP="00FB1444">
      <w:pPr>
        <w:pStyle w:val="af5"/>
        <w:numPr>
          <w:ilvl w:val="0"/>
          <w:numId w:val="24"/>
        </w:numPr>
        <w:spacing w:before="120"/>
        <w:ind w:left="690" w:hanging="240"/>
        <w:rPr>
          <w:rFonts w:ascii="等线" w:eastAsia="等线" w:hAnsi="Times New Roman"/>
          <w:color w:val="000000"/>
        </w:rPr>
      </w:pPr>
      <w:r w:rsidRPr="00FB1444">
        <w:rPr>
          <w:rFonts w:ascii="等线" w:eastAsia="等线" w:hAnsi="Times New Roman"/>
          <w:color w:val="000000"/>
        </w:rPr>
        <w:t>Represented CDH on its equity investment in Threatbook</w:t>
      </w:r>
    </w:p>
    <w:p w14:paraId="2EEA8ABB" w14:textId="77777777" w:rsidR="00FB1444" w:rsidRDefault="00FB1444" w:rsidP="00FB1444">
      <w:pPr>
        <w:pStyle w:val="af5"/>
        <w:numPr>
          <w:ilvl w:val="0"/>
          <w:numId w:val="25"/>
        </w:numPr>
        <w:spacing w:before="120"/>
        <w:ind w:left="690" w:hanging="240"/>
        <w:rPr>
          <w:rFonts w:ascii="等线" w:eastAsia="等线" w:hAnsi="Times New Roman"/>
          <w:color w:val="000000"/>
        </w:rPr>
      </w:pPr>
      <w:r w:rsidRPr="00FB1444">
        <w:rPr>
          <w:rFonts w:ascii="等线" w:eastAsia="等线" w:hAnsi="Times New Roman"/>
          <w:color w:val="000000"/>
        </w:rPr>
        <w:t>Represented Chengxin in its spin-off from Didi and its over US$4.2 billion series A financing</w:t>
      </w:r>
    </w:p>
    <w:p w14:paraId="0232EEB8" w14:textId="77777777" w:rsidR="00FB1444" w:rsidRDefault="00FB1444" w:rsidP="00FB1444">
      <w:pPr>
        <w:pStyle w:val="af5"/>
        <w:numPr>
          <w:ilvl w:val="0"/>
          <w:numId w:val="26"/>
        </w:numPr>
        <w:spacing w:before="120"/>
        <w:ind w:left="690" w:hanging="240"/>
        <w:rPr>
          <w:rFonts w:ascii="等线" w:eastAsia="等线" w:hAnsi="Times New Roman"/>
          <w:color w:val="000000"/>
        </w:rPr>
      </w:pPr>
      <w:r w:rsidRPr="00FB1444">
        <w:rPr>
          <w:rFonts w:ascii="等线" w:eastAsia="等线" w:hAnsi="Times New Roman"/>
          <w:color w:val="000000"/>
        </w:rPr>
        <w:t>Represented Hillhouse on its equity investments in Miniso and in its later on red-chip restructuring</w:t>
      </w:r>
    </w:p>
    <w:p w14:paraId="2E7036E1" w14:textId="77777777" w:rsidR="00FB1444" w:rsidRDefault="00FB1444" w:rsidP="00FB1444">
      <w:pPr>
        <w:pStyle w:val="af5"/>
        <w:numPr>
          <w:ilvl w:val="0"/>
          <w:numId w:val="27"/>
        </w:numPr>
        <w:spacing w:before="120"/>
        <w:ind w:left="690" w:hanging="240"/>
        <w:rPr>
          <w:rFonts w:ascii="等线" w:eastAsia="等线" w:hAnsi="Times New Roman"/>
          <w:color w:val="000000"/>
        </w:rPr>
      </w:pPr>
      <w:r w:rsidRPr="00FB1444">
        <w:rPr>
          <w:rFonts w:ascii="等线" w:eastAsia="等线" w:hAnsi="Times New Roman"/>
          <w:color w:val="000000"/>
        </w:rPr>
        <w:t>Represented Sequoia on its equity investment in Dingdong</w:t>
      </w:r>
    </w:p>
    <w:p w14:paraId="69A0808F" w14:textId="77777777" w:rsidR="00FB1444" w:rsidRDefault="00FB1444" w:rsidP="00FB1444">
      <w:pPr>
        <w:pStyle w:val="af5"/>
        <w:numPr>
          <w:ilvl w:val="0"/>
          <w:numId w:val="28"/>
        </w:numPr>
        <w:spacing w:before="120"/>
        <w:ind w:left="690" w:hanging="240"/>
        <w:rPr>
          <w:rFonts w:ascii="等线" w:eastAsia="等线" w:hAnsi="Times New Roman"/>
          <w:color w:val="000000"/>
        </w:rPr>
      </w:pPr>
      <w:r w:rsidRPr="00FB1444">
        <w:rPr>
          <w:rFonts w:ascii="等线" w:eastAsia="等线" w:hAnsi="Times New Roman"/>
          <w:color w:val="000000"/>
        </w:rPr>
        <w:t>Represented Sequoia on its equity investment in Holomatic</w:t>
      </w:r>
    </w:p>
    <w:p w14:paraId="27CA7483" w14:textId="77777777" w:rsidR="00FB1444" w:rsidRDefault="00FB1444" w:rsidP="00FB1444">
      <w:pPr>
        <w:pStyle w:val="af5"/>
        <w:numPr>
          <w:ilvl w:val="0"/>
          <w:numId w:val="29"/>
        </w:numPr>
        <w:spacing w:before="120"/>
        <w:ind w:left="690" w:hanging="240"/>
        <w:rPr>
          <w:rFonts w:ascii="等线" w:eastAsia="等线" w:hAnsi="Times New Roman"/>
          <w:color w:val="000000"/>
        </w:rPr>
      </w:pPr>
      <w:r w:rsidRPr="00FB1444">
        <w:rPr>
          <w:rFonts w:ascii="等线" w:eastAsia="等线" w:hAnsi="Times New Roman"/>
          <w:color w:val="000000"/>
        </w:rPr>
        <w:t>Represented Sequoia on its equity investment in Shuhai Supply Chain Solutions</w:t>
      </w:r>
    </w:p>
    <w:p w14:paraId="67E43090" w14:textId="77777777" w:rsidR="00FB1444" w:rsidRDefault="00FB1444" w:rsidP="00FB1444">
      <w:pPr>
        <w:pStyle w:val="af5"/>
        <w:numPr>
          <w:ilvl w:val="0"/>
          <w:numId w:val="30"/>
        </w:numPr>
        <w:spacing w:before="120"/>
        <w:ind w:left="690" w:hanging="240"/>
        <w:rPr>
          <w:rFonts w:ascii="等线" w:eastAsia="等线" w:hAnsi="Times New Roman"/>
          <w:color w:val="000000"/>
        </w:rPr>
      </w:pPr>
      <w:r w:rsidRPr="00FB1444">
        <w:rPr>
          <w:rFonts w:ascii="等线" w:eastAsia="等线" w:hAnsi="Times New Roman"/>
          <w:color w:val="000000"/>
        </w:rPr>
        <w:t>Represented Gaorong on its equity investment in Pupumall</w:t>
      </w:r>
    </w:p>
    <w:p w14:paraId="1970FE39" w14:textId="77777777" w:rsidR="00FB1444" w:rsidRDefault="00FB1444" w:rsidP="00FB1444">
      <w:pPr>
        <w:pStyle w:val="af5"/>
        <w:numPr>
          <w:ilvl w:val="0"/>
          <w:numId w:val="31"/>
        </w:numPr>
        <w:spacing w:before="120"/>
        <w:ind w:left="690" w:hanging="240"/>
        <w:rPr>
          <w:rFonts w:ascii="等线" w:eastAsia="等线" w:hAnsi="Times New Roman"/>
          <w:color w:val="000000"/>
        </w:rPr>
      </w:pPr>
      <w:r w:rsidRPr="00FB1444">
        <w:rPr>
          <w:rFonts w:ascii="等线" w:eastAsia="等线" w:hAnsi="Times New Roman"/>
          <w:color w:val="000000"/>
        </w:rPr>
        <w:t>Represented Gaorong on its equity investment in PDD</w:t>
      </w:r>
    </w:p>
    <w:p w14:paraId="1C2BE286" w14:textId="77777777" w:rsidR="00FB1444" w:rsidRDefault="00FB1444" w:rsidP="00FB1444">
      <w:pPr>
        <w:pStyle w:val="af5"/>
        <w:numPr>
          <w:ilvl w:val="0"/>
          <w:numId w:val="32"/>
        </w:numPr>
        <w:spacing w:before="120"/>
        <w:ind w:left="690" w:hanging="240"/>
        <w:rPr>
          <w:rFonts w:ascii="等线" w:eastAsia="等线" w:hAnsi="Times New Roman"/>
          <w:color w:val="000000"/>
        </w:rPr>
      </w:pPr>
      <w:r w:rsidRPr="00FB1444">
        <w:rPr>
          <w:rFonts w:ascii="等线" w:eastAsia="等线" w:hAnsi="Times New Roman"/>
          <w:color w:val="000000"/>
        </w:rPr>
        <w:t>Represented CEC CICC on its equity investment in Nreal</w:t>
      </w:r>
    </w:p>
    <w:p w14:paraId="0781E790" w14:textId="77777777" w:rsidR="00FB1444" w:rsidRDefault="00FB1444" w:rsidP="00FB1444">
      <w:pPr>
        <w:pStyle w:val="af5"/>
        <w:numPr>
          <w:ilvl w:val="0"/>
          <w:numId w:val="33"/>
        </w:numPr>
        <w:spacing w:before="120"/>
        <w:ind w:left="690" w:hanging="240"/>
        <w:rPr>
          <w:rFonts w:ascii="等线" w:eastAsia="等线" w:hAnsi="Times New Roman"/>
          <w:color w:val="000000"/>
        </w:rPr>
      </w:pPr>
      <w:r w:rsidRPr="00FB1444">
        <w:rPr>
          <w:rFonts w:ascii="等线" w:eastAsia="等线" w:hAnsi="Times New Roman"/>
          <w:color w:val="000000"/>
        </w:rPr>
        <w:t>Represented Z-Park Fund on its investment in Tuanche</w:t>
      </w:r>
    </w:p>
    <w:p w14:paraId="7CED9B30" w14:textId="77777777" w:rsidR="00FB1444" w:rsidRDefault="00FB1444" w:rsidP="00FB1444">
      <w:pPr>
        <w:pStyle w:val="af5"/>
        <w:numPr>
          <w:ilvl w:val="0"/>
          <w:numId w:val="34"/>
        </w:numPr>
        <w:spacing w:before="120"/>
        <w:ind w:left="690" w:hanging="240"/>
        <w:rPr>
          <w:rFonts w:ascii="等线" w:eastAsia="等线" w:hAnsi="Times New Roman"/>
          <w:color w:val="000000"/>
        </w:rPr>
      </w:pPr>
      <w:r w:rsidRPr="00FB1444">
        <w:rPr>
          <w:rFonts w:ascii="等线" w:eastAsia="等线" w:hAnsi="Times New Roman"/>
          <w:color w:val="000000"/>
        </w:rPr>
        <w:t>Represented CICFH on its investment in We Doctor</w:t>
      </w:r>
    </w:p>
    <w:p w14:paraId="533E2521" w14:textId="77777777" w:rsidR="00FB1444" w:rsidRDefault="00FB1444" w:rsidP="00FB1444">
      <w:pPr>
        <w:pStyle w:val="af5"/>
        <w:numPr>
          <w:ilvl w:val="0"/>
          <w:numId w:val="35"/>
        </w:numPr>
        <w:spacing w:before="120"/>
        <w:ind w:left="690" w:hanging="240"/>
        <w:rPr>
          <w:rFonts w:ascii="等线" w:eastAsia="等线" w:hAnsi="Times New Roman"/>
          <w:color w:val="000000"/>
        </w:rPr>
      </w:pPr>
      <w:r w:rsidRPr="00FB1444">
        <w:rPr>
          <w:rFonts w:ascii="等线" w:eastAsia="等线" w:hAnsi="Times New Roman"/>
          <w:color w:val="000000"/>
        </w:rPr>
        <w:t>Represented investors on their proposed investment in Bytedance</w:t>
      </w:r>
    </w:p>
    <w:p w14:paraId="6619224B" w14:textId="77777777" w:rsidR="00FB1444" w:rsidRDefault="00FB1444" w:rsidP="00FB1444">
      <w:pPr>
        <w:pStyle w:val="af5"/>
        <w:numPr>
          <w:ilvl w:val="0"/>
          <w:numId w:val="36"/>
        </w:numPr>
        <w:spacing w:before="120"/>
        <w:ind w:left="690" w:hanging="240"/>
        <w:rPr>
          <w:rFonts w:ascii="等线" w:eastAsia="等线" w:hAnsi="Times New Roman"/>
          <w:color w:val="000000"/>
        </w:rPr>
      </w:pPr>
      <w:r w:rsidRPr="00FB1444">
        <w:rPr>
          <w:rFonts w:ascii="等线" w:eastAsia="等线" w:hAnsi="Times New Roman"/>
          <w:color w:val="000000"/>
        </w:rPr>
        <w:t>Represented investors on their proposed investment in Nio</w:t>
      </w:r>
    </w:p>
    <w:p w14:paraId="162F8327" w14:textId="77777777" w:rsidR="00FB1444" w:rsidRDefault="00FB1444" w:rsidP="00FB1444">
      <w:pPr>
        <w:pStyle w:val="af5"/>
        <w:numPr>
          <w:ilvl w:val="0"/>
          <w:numId w:val="37"/>
        </w:numPr>
        <w:spacing w:before="120"/>
        <w:ind w:left="690" w:hanging="240"/>
        <w:rPr>
          <w:rFonts w:ascii="等线" w:eastAsia="等线" w:hAnsi="Times New Roman"/>
          <w:color w:val="000000"/>
        </w:rPr>
      </w:pPr>
      <w:r w:rsidRPr="00FB1444">
        <w:rPr>
          <w:rFonts w:ascii="等线" w:eastAsia="等线" w:hAnsi="Times New Roman"/>
          <w:color w:val="000000"/>
        </w:rPr>
        <w:t>Represented investors on their investment in 100Credi</w:t>
      </w:r>
    </w:p>
    <w:p w14:paraId="7501BDE9" w14:textId="77777777" w:rsidR="00FB1444" w:rsidRDefault="00FB1444" w:rsidP="00FB1444">
      <w:pPr>
        <w:pStyle w:val="af5"/>
        <w:numPr>
          <w:ilvl w:val="0"/>
          <w:numId w:val="38"/>
        </w:numPr>
        <w:spacing w:before="120"/>
        <w:ind w:left="690" w:hanging="240"/>
        <w:rPr>
          <w:rFonts w:ascii="等线" w:eastAsia="等线" w:hAnsi="Times New Roman"/>
          <w:color w:val="000000"/>
        </w:rPr>
      </w:pPr>
      <w:r w:rsidRPr="00FB1444">
        <w:rPr>
          <w:rFonts w:ascii="等线" w:eastAsia="等线" w:hAnsi="Times New Roman"/>
          <w:color w:val="000000"/>
        </w:rPr>
        <w:t>Represented Pony AI in its collaboration with Toyota Motor Corporation and in its US$400 million Series C financing in which Toyota was the lead investor</w:t>
      </w:r>
    </w:p>
    <w:p w14:paraId="64352D84" w14:textId="77777777" w:rsidR="00FB1444" w:rsidRDefault="00FB1444" w:rsidP="00FB1444">
      <w:pPr>
        <w:pStyle w:val="af5"/>
        <w:numPr>
          <w:ilvl w:val="0"/>
          <w:numId w:val="39"/>
        </w:numPr>
        <w:spacing w:before="120"/>
        <w:ind w:left="690" w:hanging="240"/>
        <w:rPr>
          <w:rFonts w:ascii="等线" w:eastAsia="等线" w:hAnsi="Times New Roman"/>
          <w:color w:val="000000"/>
        </w:rPr>
      </w:pPr>
      <w:r w:rsidRPr="00FB1444">
        <w:rPr>
          <w:rFonts w:ascii="等线" w:eastAsia="等线" w:hAnsi="Times New Roman"/>
          <w:color w:val="000000"/>
        </w:rPr>
        <w:t>Represented SDIC on its investment in CanSino Bio</w:t>
      </w:r>
    </w:p>
    <w:p w14:paraId="23A83B94" w14:textId="77777777" w:rsidR="00FB1444" w:rsidRDefault="00FB1444" w:rsidP="00FB1444">
      <w:pPr>
        <w:pStyle w:val="af5"/>
        <w:numPr>
          <w:ilvl w:val="0"/>
          <w:numId w:val="40"/>
        </w:numPr>
        <w:spacing w:before="120"/>
        <w:ind w:left="690" w:hanging="240"/>
        <w:rPr>
          <w:rFonts w:ascii="等线" w:eastAsia="等线" w:hAnsi="Times New Roman"/>
          <w:color w:val="000000"/>
        </w:rPr>
      </w:pPr>
      <w:r w:rsidRPr="00FB1444">
        <w:rPr>
          <w:rFonts w:ascii="等线" w:eastAsia="等线" w:hAnsi="Times New Roman"/>
          <w:color w:val="000000"/>
        </w:rPr>
        <w:t>Represented Alibaba on its investment in a film and TV production company</w:t>
      </w:r>
    </w:p>
    <w:p w14:paraId="4BB15738" w14:textId="77777777" w:rsidR="00FB1444" w:rsidRDefault="00FB1444" w:rsidP="00FB1444">
      <w:pPr>
        <w:pStyle w:val="af5"/>
        <w:numPr>
          <w:ilvl w:val="0"/>
          <w:numId w:val="41"/>
        </w:numPr>
        <w:spacing w:before="120"/>
        <w:ind w:left="690" w:hanging="240"/>
        <w:rPr>
          <w:rFonts w:ascii="等线" w:eastAsia="等线" w:hAnsi="Times New Roman"/>
          <w:color w:val="000000"/>
        </w:rPr>
      </w:pPr>
      <w:r w:rsidRPr="00FB1444">
        <w:rPr>
          <w:rFonts w:ascii="等线" w:eastAsia="等线" w:hAnsi="Times New Roman"/>
          <w:color w:val="000000"/>
        </w:rPr>
        <w:t>Represented Warburg Pincus, TPG, IDG, Zhen Fund, Asia Green Fund, Lenovo Capital, China Life, CICC Capital and various other venture capital and private equity funds on their several equity investments in China</w:t>
      </w:r>
    </w:p>
    <w:p w14:paraId="6C43E08D" w14:textId="77777777" w:rsidR="00FB1444" w:rsidRDefault="00FB1444" w:rsidP="00FB1444">
      <w:pPr>
        <w:pStyle w:val="af5"/>
        <w:numPr>
          <w:ilvl w:val="0"/>
          <w:numId w:val="42"/>
        </w:numPr>
        <w:spacing w:before="120"/>
        <w:ind w:left="690" w:hanging="240"/>
        <w:rPr>
          <w:rFonts w:ascii="等线" w:eastAsia="等线" w:hAnsi="Times New Roman"/>
          <w:color w:val="000000"/>
        </w:rPr>
      </w:pPr>
      <w:r w:rsidRPr="00FB1444">
        <w:rPr>
          <w:rFonts w:ascii="等线" w:eastAsia="等线" w:hAnsi="Times New Roman"/>
          <w:color w:val="000000"/>
        </w:rPr>
        <w:t>Represented Carebridge, Kaiyun Mortor, KNX, Miotech, Matrix Finance and other enterprises in their equity financings</w:t>
      </w:r>
    </w:p>
    <w:p w14:paraId="482F577C" w14:textId="77777777" w:rsidR="00FB1444" w:rsidRDefault="00FB1444" w:rsidP="00FB1444">
      <w:pPr>
        <w:pStyle w:val="af5"/>
        <w:spacing w:before="120"/>
        <w:rPr>
          <w:rFonts w:ascii="等线" w:eastAsia="等线" w:hAnsi="Times New Roman"/>
          <w:color w:val="000000"/>
        </w:rPr>
      </w:pPr>
      <w:r w:rsidRPr="00FB1444">
        <w:rPr>
          <w:rFonts w:ascii="等线" w:eastAsia="等线" w:hAnsi="Times New Roman"/>
          <w:color w:val="000000"/>
        </w:rPr>
        <w:t>General Corporate</w:t>
      </w:r>
    </w:p>
    <w:p w14:paraId="545C1BDF" w14:textId="77777777" w:rsidR="00FB1444" w:rsidRDefault="00FB1444" w:rsidP="00FB1444">
      <w:pPr>
        <w:pStyle w:val="af5"/>
        <w:numPr>
          <w:ilvl w:val="0"/>
          <w:numId w:val="43"/>
        </w:numPr>
        <w:spacing w:before="120"/>
        <w:ind w:left="690" w:hanging="240"/>
        <w:rPr>
          <w:rFonts w:ascii="等线" w:eastAsia="等线" w:hAnsi="Times New Roman"/>
          <w:color w:val="000000"/>
        </w:rPr>
      </w:pPr>
      <w:r w:rsidRPr="00FB1444">
        <w:rPr>
          <w:rFonts w:ascii="等线" w:eastAsia="等线" w:hAnsi="Times New Roman"/>
          <w:color w:val="000000"/>
        </w:rPr>
        <w:t>Advised Affinity Equity Partners, Kaiyun Mortors, Pony AI, Miotech, Matrix Finance, Yixia Tech, China NetUnion, Razer Singapore and other clients on general corporate work</w:t>
      </w:r>
    </w:p>
    <w:p w14:paraId="7DEE2A2F" w14:textId="77777777" w:rsidR="00FB1444" w:rsidRDefault="00FB1444" w:rsidP="00FB1444">
      <w:pPr>
        <w:pStyle w:val="af5"/>
        <w:numPr>
          <w:ilvl w:val="0"/>
          <w:numId w:val="44"/>
        </w:numPr>
        <w:spacing w:before="120"/>
        <w:ind w:left="690" w:hanging="240"/>
        <w:rPr>
          <w:rFonts w:ascii="等线" w:eastAsia="等线" w:hAnsi="Times New Roman"/>
          <w:color w:val="000000"/>
        </w:rPr>
      </w:pPr>
      <w:r w:rsidRPr="00FB1444">
        <w:rPr>
          <w:rFonts w:ascii="等线" w:eastAsia="等线" w:hAnsi="Times New Roman"/>
          <w:color w:val="000000"/>
        </w:rPr>
        <w:t>Advised Kaiyun Mortors, Car Inc., Zhaopin, Vibe Ince, a Macau based investment fund and other clients on their employee incentive schemes</w:t>
      </w:r>
    </w:p>
    <w:p w14:paraId="64626F94" w14:textId="77777777" w:rsidR="00FB1444" w:rsidRDefault="00FB1444" w:rsidP="00FB1444">
      <w:pPr>
        <w:pStyle w:val="af5"/>
        <w:spacing w:after="0" w:line="480" w:lineRule="auto"/>
        <w:rPr>
          <w:rFonts w:ascii="等线" w:eastAsia="等线" w:hAnsi="等线"/>
          <w:b/>
          <w:sz w:val="24"/>
        </w:rPr>
      </w:pPr>
      <w:r w:rsidRPr="00FB1444">
        <w:rPr>
          <w:rFonts w:ascii="等线" w:eastAsia="等线" w:hAnsi="等线"/>
          <w:b/>
          <w:sz w:val="24"/>
        </w:rPr>
        <w:t>Education</w:t>
      </w:r>
    </w:p>
    <w:p w14:paraId="6BE79EA0" w14:textId="77777777" w:rsidR="00FB1444" w:rsidRDefault="00FB1444" w:rsidP="00FB1444">
      <w:pPr>
        <w:pStyle w:val="af5"/>
        <w:numPr>
          <w:ilvl w:val="0"/>
          <w:numId w:val="45"/>
        </w:numPr>
        <w:spacing w:before="120"/>
        <w:ind w:left="690" w:hanging="240"/>
        <w:rPr>
          <w:rFonts w:ascii="等线" w:eastAsia="等线" w:hAnsi="Times New Roman"/>
          <w:color w:val="000000"/>
        </w:rPr>
      </w:pPr>
      <w:r w:rsidRPr="00FB1444">
        <w:rPr>
          <w:rFonts w:ascii="等线" w:eastAsia="等线" w:hAnsi="Times New Roman"/>
          <w:color w:val="000000"/>
        </w:rPr>
        <w:t>University of California, Berkeley, School of Law, Master of Laws (LL.M.)</w:t>
      </w:r>
    </w:p>
    <w:p w14:paraId="01B4D580" w14:textId="77777777" w:rsidR="00FB1444" w:rsidRDefault="00FB1444" w:rsidP="00FB1444">
      <w:pPr>
        <w:pStyle w:val="af5"/>
        <w:numPr>
          <w:ilvl w:val="0"/>
          <w:numId w:val="46"/>
        </w:numPr>
        <w:spacing w:before="120"/>
        <w:ind w:left="690" w:hanging="240"/>
        <w:rPr>
          <w:rFonts w:ascii="等线" w:eastAsia="等线" w:hAnsi="Times New Roman"/>
          <w:color w:val="000000"/>
        </w:rPr>
      </w:pPr>
      <w:r w:rsidRPr="00FB1444">
        <w:rPr>
          <w:rFonts w:ascii="等线" w:eastAsia="等线" w:hAnsi="Times New Roman"/>
          <w:color w:val="000000"/>
        </w:rPr>
        <w:t>Southwest University of Political Science and Law, Bachelor of Laws (LL.B.)</w:t>
      </w:r>
    </w:p>
    <w:p w14:paraId="428CB049" w14:textId="77777777" w:rsidR="00FB1444" w:rsidRDefault="00FB1444" w:rsidP="00FB1444">
      <w:pPr>
        <w:pStyle w:val="af5"/>
        <w:spacing w:after="0" w:line="480" w:lineRule="auto"/>
        <w:rPr>
          <w:rFonts w:ascii="等线" w:eastAsia="等线" w:hAnsi="等线"/>
          <w:b/>
          <w:sz w:val="24"/>
        </w:rPr>
      </w:pPr>
      <w:r w:rsidRPr="00FB1444">
        <w:rPr>
          <w:rFonts w:ascii="等线" w:eastAsia="等线" w:hAnsi="等线"/>
          <w:b/>
          <w:sz w:val="24"/>
        </w:rPr>
        <w:t>Professional Qualification</w:t>
      </w:r>
    </w:p>
    <w:p w14:paraId="4545E0AA" w14:textId="77777777" w:rsidR="00FB1444" w:rsidRDefault="00FB1444" w:rsidP="00FB1444">
      <w:pPr>
        <w:pStyle w:val="af5"/>
        <w:numPr>
          <w:ilvl w:val="0"/>
          <w:numId w:val="47"/>
        </w:numPr>
        <w:spacing w:before="120"/>
        <w:ind w:left="690" w:hanging="240"/>
        <w:rPr>
          <w:rFonts w:ascii="等线" w:eastAsia="等线" w:hAnsi="Times New Roman"/>
          <w:color w:val="000000"/>
        </w:rPr>
      </w:pPr>
      <w:r w:rsidRPr="00FB1444">
        <w:rPr>
          <w:rFonts w:ascii="等线" w:eastAsia="等线" w:hAnsi="Times New Roman"/>
          <w:color w:val="000000"/>
        </w:rPr>
        <w:t>Qualified in the PRC (non-practicing)</w:t>
      </w:r>
    </w:p>
    <w:p w14:paraId="2933FBB8" w14:textId="77777777" w:rsidR="00FB1444" w:rsidRDefault="00FB1444" w:rsidP="00FB1444">
      <w:pPr>
        <w:pStyle w:val="af5"/>
        <w:spacing w:after="0" w:line="480" w:lineRule="auto"/>
        <w:rPr>
          <w:rFonts w:ascii="等线" w:eastAsia="等线" w:hAnsi="等线"/>
          <w:b/>
          <w:sz w:val="24"/>
        </w:rPr>
      </w:pPr>
      <w:r w:rsidRPr="00FB1444">
        <w:rPr>
          <w:rFonts w:ascii="等线" w:eastAsia="等线" w:hAnsi="等线"/>
          <w:b/>
          <w:sz w:val="24"/>
        </w:rPr>
        <w:t>Work Language</w:t>
      </w:r>
    </w:p>
    <w:p w14:paraId="1364EFF7" w14:textId="77777777" w:rsidR="00FB1444" w:rsidRDefault="00FB1444" w:rsidP="00FB1444">
      <w:pPr>
        <w:pStyle w:val="af5"/>
        <w:numPr>
          <w:ilvl w:val="0"/>
          <w:numId w:val="48"/>
        </w:numPr>
        <w:spacing w:before="120"/>
        <w:ind w:left="690" w:hanging="240"/>
        <w:rPr>
          <w:rFonts w:ascii="等线" w:eastAsia="等线" w:hAnsi="Times New Roman"/>
          <w:color w:val="000000"/>
        </w:rPr>
      </w:pPr>
      <w:r w:rsidRPr="00FB1444">
        <w:rPr>
          <w:rFonts w:ascii="等线" w:eastAsia="等线" w:hAnsi="Times New Roman"/>
          <w:color w:val="000000"/>
        </w:rPr>
        <w:t>Mandarin (Native)</w:t>
      </w:r>
    </w:p>
    <w:p w14:paraId="27F1D97E" w14:textId="77777777" w:rsidR="00FB1444" w:rsidRDefault="00FB1444" w:rsidP="00FB1444">
      <w:pPr>
        <w:pStyle w:val="af5"/>
        <w:numPr>
          <w:ilvl w:val="0"/>
          <w:numId w:val="49"/>
        </w:numPr>
        <w:spacing w:before="120"/>
        <w:ind w:left="690" w:hanging="240"/>
        <w:rPr>
          <w:rFonts w:ascii="等线" w:eastAsia="等线" w:hAnsi="Times New Roman"/>
          <w:color w:val="000000"/>
        </w:rPr>
      </w:pPr>
      <w:r w:rsidRPr="00FB1444">
        <w:rPr>
          <w:rFonts w:ascii="等线" w:eastAsia="等线" w:hAnsi="Times New Roman"/>
          <w:color w:val="000000"/>
        </w:rPr>
        <w:t>English (Fluent)</w:t>
      </w:r>
    </w:p>
    <w:p w14:paraId="54D9DD2C" w14:textId="77777777" w:rsidR="00FB1444" w:rsidRDefault="00FB1444" w:rsidP="00FB1444">
      <w:pPr>
        <w:pStyle w:val="af5"/>
        <w:spacing w:after="0" w:line="480" w:lineRule="auto"/>
        <w:rPr>
          <w:rFonts w:ascii="等线" w:eastAsia="等线" w:hAnsi="等线"/>
          <w:b/>
          <w:sz w:val="24"/>
        </w:rPr>
      </w:pPr>
      <w:r w:rsidRPr="00FB1444">
        <w:rPr>
          <w:rFonts w:ascii="等线" w:eastAsia="等线" w:hAnsi="等线"/>
          <w:b/>
          <w:sz w:val="24"/>
        </w:rPr>
        <w:t>Professional Background</w:t>
      </w:r>
    </w:p>
    <w:p w14:paraId="5567FC3C" w14:textId="4506D14D" w:rsidR="00686369" w:rsidRPr="00FB1444" w:rsidRDefault="00FB1444" w:rsidP="00FB1444">
      <w:pPr>
        <w:pStyle w:val="af5"/>
        <w:numPr>
          <w:ilvl w:val="0"/>
          <w:numId w:val="50"/>
        </w:numPr>
        <w:spacing w:before="120"/>
        <w:ind w:left="690" w:hanging="240"/>
        <w:rPr>
          <w:rFonts w:ascii="等线" w:eastAsia="等线" w:hAnsi="Times New Roman"/>
          <w:color w:val="000000"/>
        </w:rPr>
      </w:pPr>
      <w:r w:rsidRPr="00FB1444">
        <w:rPr>
          <w:rFonts w:ascii="等线" w:eastAsia="等线" w:hAnsi="Times New Roman"/>
          <w:color w:val="000000"/>
        </w:rPr>
        <w:t>Prior to joining Fangda Partners, Mr. Liu was an associate at another leading PRC law firm.</w:t>
      </w:r>
    </w:p>
    <w:sectPr w:rsidR="00686369" w:rsidRPr="00FB144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D0376"/>
    <w:multiLevelType w:val="singleLevel"/>
    <w:tmpl w:val="86DAC43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581D70"/>
    <w:multiLevelType w:val="singleLevel"/>
    <w:tmpl w:val="CE6242F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A7671D"/>
    <w:multiLevelType w:val="singleLevel"/>
    <w:tmpl w:val="4DFC17E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FE2C46"/>
    <w:multiLevelType w:val="singleLevel"/>
    <w:tmpl w:val="6F0C900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703FC2"/>
    <w:multiLevelType w:val="singleLevel"/>
    <w:tmpl w:val="372CFEC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625F57"/>
    <w:multiLevelType w:val="singleLevel"/>
    <w:tmpl w:val="3BD82CC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797BEC"/>
    <w:multiLevelType w:val="singleLevel"/>
    <w:tmpl w:val="F40C11A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FB006B"/>
    <w:multiLevelType w:val="singleLevel"/>
    <w:tmpl w:val="7FE2697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027D5A"/>
    <w:multiLevelType w:val="singleLevel"/>
    <w:tmpl w:val="70B4474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EB7C0B"/>
    <w:multiLevelType w:val="singleLevel"/>
    <w:tmpl w:val="E85A445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816119"/>
    <w:multiLevelType w:val="singleLevel"/>
    <w:tmpl w:val="FA5426A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CB1695"/>
    <w:multiLevelType w:val="singleLevel"/>
    <w:tmpl w:val="64FC750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C5B6265"/>
    <w:multiLevelType w:val="singleLevel"/>
    <w:tmpl w:val="F796F82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4F7066"/>
    <w:multiLevelType w:val="singleLevel"/>
    <w:tmpl w:val="787EF71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734FAF"/>
    <w:multiLevelType w:val="singleLevel"/>
    <w:tmpl w:val="ABE2ACA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DD16816"/>
    <w:multiLevelType w:val="singleLevel"/>
    <w:tmpl w:val="FE5A748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9A005A"/>
    <w:multiLevelType w:val="singleLevel"/>
    <w:tmpl w:val="632E79F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2FAF1570"/>
    <w:multiLevelType w:val="singleLevel"/>
    <w:tmpl w:val="306CF1B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0544B27"/>
    <w:multiLevelType w:val="singleLevel"/>
    <w:tmpl w:val="EAF4370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F1E1E16"/>
    <w:multiLevelType w:val="singleLevel"/>
    <w:tmpl w:val="022458A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52312C"/>
    <w:multiLevelType w:val="singleLevel"/>
    <w:tmpl w:val="F7AC02B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4C755C0"/>
    <w:multiLevelType w:val="singleLevel"/>
    <w:tmpl w:val="49F839F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5C25E3D"/>
    <w:multiLevelType w:val="singleLevel"/>
    <w:tmpl w:val="63A2998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F50419"/>
    <w:multiLevelType w:val="singleLevel"/>
    <w:tmpl w:val="ECFC05C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66B285A"/>
    <w:multiLevelType w:val="singleLevel"/>
    <w:tmpl w:val="DB94406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9AC138C"/>
    <w:multiLevelType w:val="singleLevel"/>
    <w:tmpl w:val="E2E4CE8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B971C04"/>
    <w:multiLevelType w:val="singleLevel"/>
    <w:tmpl w:val="770A2DB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C8A096C"/>
    <w:multiLevelType w:val="singleLevel"/>
    <w:tmpl w:val="1CBCD6B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1115094"/>
    <w:multiLevelType w:val="singleLevel"/>
    <w:tmpl w:val="B384472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30C440A"/>
    <w:multiLevelType w:val="singleLevel"/>
    <w:tmpl w:val="30EC461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41871EB"/>
    <w:multiLevelType w:val="singleLevel"/>
    <w:tmpl w:val="632E79F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50E4519"/>
    <w:multiLevelType w:val="singleLevel"/>
    <w:tmpl w:val="4FCCCB6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5F25AB3"/>
    <w:multiLevelType w:val="singleLevel"/>
    <w:tmpl w:val="1528DF1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A843C3A"/>
    <w:multiLevelType w:val="singleLevel"/>
    <w:tmpl w:val="8272EBB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B301CF2"/>
    <w:multiLevelType w:val="singleLevel"/>
    <w:tmpl w:val="BB403FF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BAF0EB6"/>
    <w:multiLevelType w:val="singleLevel"/>
    <w:tmpl w:val="2E08333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CFC0724"/>
    <w:multiLevelType w:val="singleLevel"/>
    <w:tmpl w:val="D72EC11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2C31EE0"/>
    <w:multiLevelType w:val="singleLevel"/>
    <w:tmpl w:val="122A42A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9385948"/>
    <w:multiLevelType w:val="singleLevel"/>
    <w:tmpl w:val="E70A03D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A551085"/>
    <w:multiLevelType w:val="singleLevel"/>
    <w:tmpl w:val="9C72386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CE43FF7"/>
    <w:multiLevelType w:val="singleLevel"/>
    <w:tmpl w:val="3A6A469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19947A9"/>
    <w:multiLevelType w:val="singleLevel"/>
    <w:tmpl w:val="B8FE908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1E35F52"/>
    <w:multiLevelType w:val="singleLevel"/>
    <w:tmpl w:val="D7EE6A1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58C44B5"/>
    <w:multiLevelType w:val="singleLevel"/>
    <w:tmpl w:val="8B083B3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7386D97"/>
    <w:multiLevelType w:val="singleLevel"/>
    <w:tmpl w:val="D67E4F6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BB46CCB"/>
    <w:multiLevelType w:val="singleLevel"/>
    <w:tmpl w:val="6484837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9759DC"/>
    <w:multiLevelType w:val="singleLevel"/>
    <w:tmpl w:val="F30EF0A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E10784B"/>
    <w:multiLevelType w:val="singleLevel"/>
    <w:tmpl w:val="6FFEE59E"/>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0"/>
  </w:num>
  <w:num w:numId="3">
    <w:abstractNumId w:val="2"/>
  </w:num>
  <w:num w:numId="4">
    <w:abstractNumId w:val="38"/>
  </w:num>
  <w:num w:numId="5">
    <w:abstractNumId w:val="37"/>
  </w:num>
  <w:num w:numId="6">
    <w:abstractNumId w:val="24"/>
  </w:num>
  <w:num w:numId="7">
    <w:abstractNumId w:val="49"/>
  </w:num>
  <w:num w:numId="8">
    <w:abstractNumId w:val="23"/>
  </w:num>
  <w:num w:numId="9">
    <w:abstractNumId w:val="9"/>
  </w:num>
  <w:num w:numId="10">
    <w:abstractNumId w:val="34"/>
  </w:num>
  <w:num w:numId="11">
    <w:abstractNumId w:val="47"/>
  </w:num>
  <w:num w:numId="12">
    <w:abstractNumId w:val="41"/>
  </w:num>
  <w:num w:numId="13">
    <w:abstractNumId w:val="4"/>
  </w:num>
  <w:num w:numId="14">
    <w:abstractNumId w:val="18"/>
  </w:num>
  <w:num w:numId="15">
    <w:abstractNumId w:val="28"/>
  </w:num>
  <w:num w:numId="16">
    <w:abstractNumId w:val="0"/>
  </w:num>
  <w:num w:numId="17">
    <w:abstractNumId w:val="5"/>
  </w:num>
  <w:num w:numId="18">
    <w:abstractNumId w:val="3"/>
  </w:num>
  <w:num w:numId="19">
    <w:abstractNumId w:val="40"/>
  </w:num>
  <w:num w:numId="20">
    <w:abstractNumId w:val="6"/>
  </w:num>
  <w:num w:numId="21">
    <w:abstractNumId w:val="45"/>
  </w:num>
  <w:num w:numId="22">
    <w:abstractNumId w:val="8"/>
  </w:num>
  <w:num w:numId="23">
    <w:abstractNumId w:val="21"/>
  </w:num>
  <w:num w:numId="24">
    <w:abstractNumId w:val="35"/>
  </w:num>
  <w:num w:numId="25">
    <w:abstractNumId w:val="10"/>
  </w:num>
  <w:num w:numId="26">
    <w:abstractNumId w:val="30"/>
  </w:num>
  <w:num w:numId="27">
    <w:abstractNumId w:val="22"/>
  </w:num>
  <w:num w:numId="28">
    <w:abstractNumId w:val="12"/>
  </w:num>
  <w:num w:numId="29">
    <w:abstractNumId w:val="39"/>
  </w:num>
  <w:num w:numId="30">
    <w:abstractNumId w:val="27"/>
  </w:num>
  <w:num w:numId="31">
    <w:abstractNumId w:val="15"/>
  </w:num>
  <w:num w:numId="32">
    <w:abstractNumId w:val="19"/>
  </w:num>
  <w:num w:numId="33">
    <w:abstractNumId w:val="11"/>
  </w:num>
  <w:num w:numId="34">
    <w:abstractNumId w:val="31"/>
  </w:num>
  <w:num w:numId="35">
    <w:abstractNumId w:val="46"/>
  </w:num>
  <w:num w:numId="36">
    <w:abstractNumId w:val="42"/>
  </w:num>
  <w:num w:numId="37">
    <w:abstractNumId w:val="26"/>
  </w:num>
  <w:num w:numId="38">
    <w:abstractNumId w:val="7"/>
  </w:num>
  <w:num w:numId="39">
    <w:abstractNumId w:val="14"/>
  </w:num>
  <w:num w:numId="40">
    <w:abstractNumId w:val="36"/>
  </w:num>
  <w:num w:numId="41">
    <w:abstractNumId w:val="43"/>
  </w:num>
  <w:num w:numId="42">
    <w:abstractNumId w:val="33"/>
  </w:num>
  <w:num w:numId="43">
    <w:abstractNumId w:val="13"/>
  </w:num>
  <w:num w:numId="44">
    <w:abstractNumId w:val="48"/>
  </w:num>
  <w:num w:numId="45">
    <w:abstractNumId w:val="29"/>
  </w:num>
  <w:num w:numId="46">
    <w:abstractNumId w:val="1"/>
  </w:num>
  <w:num w:numId="47">
    <w:abstractNumId w:val="25"/>
  </w:num>
  <w:num w:numId="48">
    <w:abstractNumId w:val="44"/>
  </w:num>
  <w:num w:numId="49">
    <w:abstractNumId w:val="32"/>
  </w:num>
  <w:num w:numId="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1444"/>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B1444"/>
    <w:pPr>
      <w:spacing w:after="120"/>
    </w:pPr>
  </w:style>
  <w:style w:type="character" w:customStyle="1" w:styleId="af6">
    <w:name w:val="正文文本 字符"/>
    <w:basedOn w:val="a0"/>
    <w:link w:val="af5"/>
    <w:uiPriority w:val="99"/>
    <w:rsid w:val="00FB144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32EF8F-F067-4F81-B809-ECAFAE8B1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607</Words>
  <Characters>3463</Characters>
  <Application>Microsoft Office Word</Application>
  <DocSecurity>0</DocSecurity>
  <Lines>28</Lines>
  <Paragraphs>8</Paragraphs>
  <ScaleCrop>false</ScaleCrop>
  <Company/>
  <LinksUpToDate>false</LinksUpToDate>
  <CharactersWithSpaces>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2026-07-16T16:01:00Z</dcterms:created>
  <dcterms:modified xsi:type="dcterms:W3CDTF">2026-07-16T16:01:00Z</dcterms:modified>
</cp:coreProperties>
</file>