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2E03142" w:rsidR="0049405C" w:rsidRPr="00C24D79" w:rsidRDefault="005F23A4" w:rsidP="005F23A4">
            <w:pPr>
              <w:spacing w:line="720" w:lineRule="auto"/>
              <w:rPr>
                <w:rFonts w:eastAsiaTheme="minorHAnsi"/>
                <w:color w:val="545551"/>
              </w:rPr>
            </w:pPr>
            <w:bookmarkStart w:id="0" w:name="xingming"/>
            <w:bookmarkStart w:id="1" w:name="_GoBack"/>
            <w:bookmarkEnd w:id="1"/>
            <w:r w:rsidRPr="005F23A4">
              <w:rPr>
                <w:rFonts w:ascii="等线" w:eastAsia="等线" w:hAnsi="Times New Roman"/>
                <w:b/>
                <w:color w:val="000000"/>
                <w:sz w:val="48"/>
              </w:rPr>
              <w:t>HUANYAN ZHANG</w:t>
            </w:r>
            <w:bookmarkEnd w:id="0"/>
          </w:p>
          <w:p w14:paraId="706EB16B" w14:textId="6DCE602E" w:rsidR="0049405C" w:rsidRPr="00C24D79" w:rsidRDefault="005F23A4" w:rsidP="005F23A4">
            <w:pPr>
              <w:spacing w:line="360" w:lineRule="auto"/>
              <w:rPr>
                <w:rFonts w:eastAsiaTheme="minorHAnsi"/>
                <w:b/>
                <w:bCs/>
                <w:color w:val="545551"/>
              </w:rPr>
            </w:pPr>
            <w:bookmarkStart w:id="2" w:name="didian"/>
            <w:r w:rsidRPr="005F23A4">
              <w:rPr>
                <w:rFonts w:ascii="等线" w:eastAsia="等线" w:hAnsi="Times New Roman"/>
                <w:b/>
                <w:bCs/>
                <w:color w:val="000000"/>
              </w:rPr>
              <w:t>Partner</w:t>
            </w:r>
            <w:r w:rsidRPr="005F23A4">
              <w:rPr>
                <w:rFonts w:ascii="等线" w:eastAsia="等线" w:hAnsi="Times New Roman"/>
                <w:b/>
                <w:bCs/>
                <w:color w:val="000000"/>
              </w:rPr>
              <w:t>·</w:t>
            </w:r>
            <w:r w:rsidRPr="005F23A4">
              <w:rPr>
                <w:rFonts w:ascii="等线" w:eastAsia="等线" w:hAnsi="Times New Roman"/>
                <w:b/>
                <w:bCs/>
                <w:color w:val="000000"/>
              </w:rPr>
              <w:t>Guangzhou,Shenzhen</w:t>
            </w:r>
            <w:bookmarkEnd w:id="2"/>
          </w:p>
          <w:p w14:paraId="6199424A" w14:textId="214CAF30" w:rsidR="0049405C" w:rsidRPr="00C24D79" w:rsidRDefault="005F23A4" w:rsidP="005F23A4">
            <w:pPr>
              <w:spacing w:line="360" w:lineRule="auto"/>
              <w:rPr>
                <w:rFonts w:eastAsiaTheme="minorHAnsi"/>
                <w:color w:val="545551"/>
              </w:rPr>
            </w:pPr>
            <w:bookmarkStart w:id="3" w:name="dianhua"/>
            <w:r w:rsidRPr="005F23A4">
              <w:rPr>
                <w:rFonts w:ascii="等线" w:eastAsia="等线" w:hAnsi="Times New Roman"/>
                <w:color w:val="000000"/>
              </w:rPr>
              <w:t xml:space="preserve">+86 136 0243 7236 </w:t>
            </w:r>
            <w:bookmarkEnd w:id="3"/>
          </w:p>
          <w:p w14:paraId="4F910ACA" w14:textId="15E99331" w:rsidR="0049405C" w:rsidRPr="00C24D79" w:rsidRDefault="005F23A4" w:rsidP="005F23A4">
            <w:pPr>
              <w:spacing w:line="360" w:lineRule="auto"/>
              <w:rPr>
                <w:rFonts w:eastAsiaTheme="minorHAnsi"/>
                <w:color w:val="000000"/>
              </w:rPr>
            </w:pPr>
            <w:bookmarkStart w:id="4" w:name="youxiang"/>
            <w:r w:rsidRPr="005F23A4">
              <w:rPr>
                <w:rFonts w:ascii="等线" w:eastAsia="等线" w:hAnsi="Times New Roman"/>
                <w:color w:val="000000"/>
              </w:rPr>
              <w:t>huanyan.zhang@fangdalaw.com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7CB6CFB" w:rsidR="0049405C" w:rsidRPr="00C24D79" w:rsidRDefault="005F23A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220950D" wp14:editId="2F77764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CC06E9B" w:rsidR="009465FB" w:rsidRPr="00C24D79" w:rsidRDefault="005F23A4" w:rsidP="007177F3">
            <w:pPr>
              <w:rPr>
                <w:rFonts w:eastAsiaTheme="minorHAnsi"/>
                <w:color w:val="000000"/>
                <w:szCs w:val="21"/>
              </w:rPr>
            </w:pPr>
            <w:bookmarkStart w:id="6" w:name="zhiyelingyu"/>
            <w:r w:rsidRPr="005F23A4">
              <w:rPr>
                <w:rFonts w:ascii="等线" w:eastAsia="等线" w:hAnsi="Times New Roman"/>
                <w:color w:val="000000"/>
                <w:szCs w:val="21"/>
              </w:rPr>
              <w:t>MS. ZHANG HUANYAN HAS BEEN PRACTICING FOR NEARLY 15 YEARS, SHE SPECIALIZES IN CAPITAL MARKET, MERGER AND ACQUISITION AND PRIVATE EQUITY.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9FD9EF9" w14:textId="77777777" w:rsidR="005F23A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A39C1C" w14:textId="77777777" w:rsidR="005F23A4" w:rsidRDefault="005F23A4" w:rsidP="005F23A4">
      <w:pPr>
        <w:pStyle w:val="af5"/>
        <w:spacing w:after="0" w:line="480" w:lineRule="auto"/>
        <w:rPr>
          <w:rFonts w:ascii="等线" w:eastAsia="等线" w:hAnsi="等线"/>
          <w:b/>
          <w:sz w:val="24"/>
        </w:rPr>
      </w:pPr>
      <w:r w:rsidRPr="005F23A4">
        <w:rPr>
          <w:rFonts w:ascii="等线" w:eastAsia="等线" w:hAnsi="等线"/>
          <w:b/>
          <w:sz w:val="24"/>
        </w:rPr>
        <w:t>REPRESENTATIVE MATTERS AND CASES</w:t>
      </w:r>
    </w:p>
    <w:p w14:paraId="6F4266FD" w14:textId="77777777" w:rsidR="005F23A4" w:rsidRDefault="005F23A4" w:rsidP="005F23A4">
      <w:pPr>
        <w:pStyle w:val="af5"/>
        <w:spacing w:before="120"/>
        <w:rPr>
          <w:rFonts w:ascii="等线" w:eastAsia="等线" w:hAnsi="Times New Roman"/>
          <w:color w:val="000000"/>
        </w:rPr>
      </w:pPr>
      <w:r w:rsidRPr="005F23A4">
        <w:rPr>
          <w:rFonts w:ascii="等线" w:eastAsia="等线" w:hAnsi="Times New Roman"/>
          <w:color w:val="000000"/>
        </w:rPr>
        <w:t>Domestic Capital Markets</w:t>
      </w:r>
    </w:p>
    <w:p w14:paraId="39020552" w14:textId="77777777" w:rsidR="005F23A4" w:rsidRDefault="005F23A4" w:rsidP="005F23A4">
      <w:pPr>
        <w:pStyle w:val="af5"/>
        <w:numPr>
          <w:ilvl w:val="0"/>
          <w:numId w:val="1"/>
        </w:numPr>
        <w:spacing w:before="120"/>
        <w:ind w:left="690" w:hanging="240"/>
        <w:rPr>
          <w:rFonts w:ascii="等线" w:eastAsia="等线" w:hAnsi="Times New Roman"/>
          <w:color w:val="000000"/>
        </w:rPr>
      </w:pPr>
      <w:r w:rsidRPr="005F23A4">
        <w:rPr>
          <w:rFonts w:ascii="等线" w:eastAsia="等线" w:hAnsi="Times New Roman"/>
          <w:color w:val="000000"/>
        </w:rPr>
        <w:t>Represented SmartGiant（688115.SH） in its A-share IPO</w:t>
      </w:r>
    </w:p>
    <w:p w14:paraId="76C5AEFE" w14:textId="77777777" w:rsidR="005F23A4" w:rsidRDefault="005F23A4" w:rsidP="005F23A4">
      <w:pPr>
        <w:pStyle w:val="af5"/>
        <w:numPr>
          <w:ilvl w:val="0"/>
          <w:numId w:val="2"/>
        </w:numPr>
        <w:spacing w:before="120"/>
        <w:ind w:left="690" w:hanging="240"/>
        <w:rPr>
          <w:rFonts w:ascii="等线" w:eastAsia="等线" w:hAnsi="Times New Roman"/>
          <w:color w:val="000000"/>
        </w:rPr>
      </w:pPr>
      <w:r w:rsidRPr="005F23A4">
        <w:rPr>
          <w:rFonts w:ascii="等线" w:eastAsia="等线" w:hAnsi="Times New Roman"/>
          <w:color w:val="000000"/>
        </w:rPr>
        <w:t>Represented BIO-THERA (688177.SH) in its A-share IPO, which is the second company in China (and the first in Southern China) without income or profit from its primary business listing domestically.</w:t>
      </w:r>
    </w:p>
    <w:p w14:paraId="048AE5BE" w14:textId="77777777" w:rsidR="005F23A4" w:rsidRDefault="005F23A4" w:rsidP="005F23A4">
      <w:pPr>
        <w:pStyle w:val="af5"/>
        <w:numPr>
          <w:ilvl w:val="0"/>
          <w:numId w:val="3"/>
        </w:numPr>
        <w:spacing w:before="120"/>
        <w:ind w:left="690" w:hanging="240"/>
        <w:rPr>
          <w:rFonts w:ascii="等线" w:eastAsia="等线" w:hAnsi="Times New Roman"/>
          <w:color w:val="000000"/>
        </w:rPr>
      </w:pPr>
      <w:r w:rsidRPr="005F23A4">
        <w:rPr>
          <w:rFonts w:ascii="等线" w:eastAsia="等线" w:hAnsi="Times New Roman"/>
          <w:color w:val="000000"/>
        </w:rPr>
        <w:t>Represented Southern Publishing and Media (601900.SH) in its A-share IPO</w:t>
      </w:r>
    </w:p>
    <w:p w14:paraId="2193099E" w14:textId="77777777" w:rsidR="005F23A4" w:rsidRDefault="005F23A4" w:rsidP="005F23A4">
      <w:pPr>
        <w:pStyle w:val="af5"/>
        <w:numPr>
          <w:ilvl w:val="0"/>
          <w:numId w:val="4"/>
        </w:numPr>
        <w:spacing w:before="120"/>
        <w:ind w:left="690" w:hanging="240"/>
        <w:rPr>
          <w:rFonts w:ascii="等线" w:eastAsia="等线" w:hAnsi="Times New Roman"/>
          <w:color w:val="000000"/>
        </w:rPr>
      </w:pPr>
      <w:r w:rsidRPr="005F23A4">
        <w:rPr>
          <w:rFonts w:ascii="等线" w:eastAsia="等线" w:hAnsi="Times New Roman"/>
          <w:color w:val="000000"/>
        </w:rPr>
        <w:t>Represented Guangzhou Restaurant (603043.SH) in its A-share IPO</w:t>
      </w:r>
    </w:p>
    <w:p w14:paraId="2A07F32D" w14:textId="77777777" w:rsidR="005F23A4" w:rsidRDefault="005F23A4" w:rsidP="005F23A4">
      <w:pPr>
        <w:pStyle w:val="af5"/>
        <w:numPr>
          <w:ilvl w:val="0"/>
          <w:numId w:val="5"/>
        </w:numPr>
        <w:spacing w:before="120"/>
        <w:ind w:left="690" w:hanging="240"/>
        <w:rPr>
          <w:rFonts w:ascii="等线" w:eastAsia="等线" w:hAnsi="Times New Roman"/>
          <w:color w:val="000000"/>
        </w:rPr>
      </w:pPr>
      <w:r w:rsidRPr="005F23A4">
        <w:rPr>
          <w:rFonts w:ascii="等线" w:eastAsia="等线" w:hAnsi="Times New Roman"/>
          <w:color w:val="000000"/>
        </w:rPr>
        <w:t>Represented Tecnon Commercial Lighting (300650.SZ) in its A-share IPO</w:t>
      </w:r>
    </w:p>
    <w:p w14:paraId="7D293B87" w14:textId="77777777" w:rsidR="005F23A4" w:rsidRDefault="005F23A4" w:rsidP="005F23A4">
      <w:pPr>
        <w:pStyle w:val="af5"/>
        <w:numPr>
          <w:ilvl w:val="0"/>
          <w:numId w:val="6"/>
        </w:numPr>
        <w:spacing w:before="120"/>
        <w:ind w:left="690" w:hanging="240"/>
        <w:rPr>
          <w:rFonts w:ascii="等线" w:eastAsia="等线" w:hAnsi="Times New Roman"/>
          <w:color w:val="000000"/>
        </w:rPr>
      </w:pPr>
      <w:r w:rsidRPr="005F23A4">
        <w:rPr>
          <w:rFonts w:ascii="等线" w:eastAsia="等线" w:hAnsi="Times New Roman"/>
          <w:color w:val="000000"/>
        </w:rPr>
        <w:t>Represented Sanxiong Aurora (300625.SZ) in its A-share IPO</w:t>
      </w:r>
    </w:p>
    <w:p w14:paraId="73A16D3F" w14:textId="77777777" w:rsidR="005F23A4" w:rsidRDefault="005F23A4" w:rsidP="005F23A4">
      <w:pPr>
        <w:pStyle w:val="af5"/>
        <w:numPr>
          <w:ilvl w:val="0"/>
          <w:numId w:val="7"/>
        </w:numPr>
        <w:spacing w:before="120"/>
        <w:ind w:left="690" w:hanging="240"/>
        <w:rPr>
          <w:rFonts w:ascii="等线" w:eastAsia="等线" w:hAnsi="Times New Roman"/>
          <w:color w:val="000000"/>
        </w:rPr>
      </w:pPr>
      <w:r w:rsidRPr="005F23A4">
        <w:rPr>
          <w:rFonts w:ascii="等线" w:eastAsia="等线" w:hAnsi="Times New Roman"/>
          <w:color w:val="000000"/>
        </w:rPr>
        <w:t>Represented Eve Energy (300014.SZ) in its A-share IPO</w:t>
      </w:r>
    </w:p>
    <w:p w14:paraId="04C1CCC6" w14:textId="77777777" w:rsidR="005F23A4" w:rsidRDefault="005F23A4" w:rsidP="005F23A4">
      <w:pPr>
        <w:pStyle w:val="af5"/>
        <w:numPr>
          <w:ilvl w:val="0"/>
          <w:numId w:val="8"/>
        </w:numPr>
        <w:spacing w:before="120"/>
        <w:ind w:left="690" w:hanging="240"/>
        <w:rPr>
          <w:rFonts w:ascii="等线" w:eastAsia="等线" w:hAnsi="Times New Roman"/>
          <w:color w:val="000000"/>
        </w:rPr>
      </w:pPr>
      <w:r w:rsidRPr="005F23A4">
        <w:rPr>
          <w:rFonts w:ascii="等线" w:eastAsia="等线" w:hAnsi="Times New Roman"/>
          <w:color w:val="000000"/>
        </w:rPr>
        <w:t>Represented Zhongyeda Electric (002441.SZ) in its A-share IPO</w:t>
      </w:r>
    </w:p>
    <w:p w14:paraId="6C56F4F7" w14:textId="77777777" w:rsidR="005F23A4" w:rsidRDefault="005F23A4" w:rsidP="005F23A4">
      <w:pPr>
        <w:pStyle w:val="af5"/>
        <w:numPr>
          <w:ilvl w:val="0"/>
          <w:numId w:val="9"/>
        </w:numPr>
        <w:spacing w:before="120"/>
        <w:ind w:left="690" w:hanging="240"/>
        <w:rPr>
          <w:rFonts w:ascii="等线" w:eastAsia="等线" w:hAnsi="Times New Roman"/>
          <w:color w:val="000000"/>
        </w:rPr>
      </w:pPr>
      <w:r w:rsidRPr="005F23A4">
        <w:rPr>
          <w:rFonts w:ascii="等线" w:eastAsia="等线" w:hAnsi="Times New Roman"/>
          <w:color w:val="000000"/>
        </w:rPr>
        <w:t>Represented Hongda Blasting (002683.SZ) in its private placement of A shares</w:t>
      </w:r>
    </w:p>
    <w:p w14:paraId="251828EF" w14:textId="77777777" w:rsidR="005F23A4" w:rsidRDefault="005F23A4" w:rsidP="005F23A4">
      <w:pPr>
        <w:pStyle w:val="af5"/>
        <w:numPr>
          <w:ilvl w:val="0"/>
          <w:numId w:val="10"/>
        </w:numPr>
        <w:spacing w:before="120"/>
        <w:ind w:left="690" w:hanging="240"/>
        <w:rPr>
          <w:rFonts w:ascii="等线" w:eastAsia="等线" w:hAnsi="Times New Roman"/>
          <w:color w:val="000000"/>
        </w:rPr>
      </w:pPr>
      <w:r w:rsidRPr="005F23A4">
        <w:rPr>
          <w:rFonts w:ascii="等线" w:eastAsia="等线" w:hAnsi="Times New Roman"/>
          <w:color w:val="000000"/>
        </w:rPr>
        <w:t>Represented Grandbuy Company (002187.SZ) in its private placement of A shares</w:t>
      </w:r>
    </w:p>
    <w:p w14:paraId="63556EBD" w14:textId="77777777" w:rsidR="005F23A4" w:rsidRDefault="005F23A4" w:rsidP="005F23A4">
      <w:pPr>
        <w:pStyle w:val="af5"/>
        <w:numPr>
          <w:ilvl w:val="0"/>
          <w:numId w:val="11"/>
        </w:numPr>
        <w:spacing w:before="120"/>
        <w:ind w:left="690" w:hanging="240"/>
        <w:rPr>
          <w:rFonts w:ascii="等线" w:eastAsia="等线" w:hAnsi="Times New Roman"/>
          <w:color w:val="000000"/>
        </w:rPr>
      </w:pPr>
      <w:r w:rsidRPr="005F23A4">
        <w:rPr>
          <w:rFonts w:ascii="等线" w:eastAsia="等线" w:hAnsi="Times New Roman"/>
          <w:color w:val="000000"/>
        </w:rPr>
        <w:t>Represented Lvjing Holding (000502.SZ) in its private placement of A shares</w:t>
      </w:r>
    </w:p>
    <w:p w14:paraId="3416A871" w14:textId="77777777" w:rsidR="005F23A4" w:rsidRDefault="005F23A4" w:rsidP="005F23A4">
      <w:pPr>
        <w:pStyle w:val="af5"/>
        <w:numPr>
          <w:ilvl w:val="0"/>
          <w:numId w:val="12"/>
        </w:numPr>
        <w:spacing w:before="120"/>
        <w:ind w:left="690" w:hanging="240"/>
        <w:rPr>
          <w:rFonts w:ascii="等线" w:eastAsia="等线" w:hAnsi="Times New Roman"/>
          <w:color w:val="000000"/>
        </w:rPr>
      </w:pPr>
      <w:r w:rsidRPr="005F23A4">
        <w:rPr>
          <w:rFonts w:ascii="等线" w:eastAsia="等线" w:hAnsi="Times New Roman"/>
          <w:color w:val="000000"/>
        </w:rPr>
        <w:t>Represented Pci-Suntek Technology (600728.SH) in its private placement of A shares</w:t>
      </w:r>
    </w:p>
    <w:p w14:paraId="2F0213A3" w14:textId="77777777" w:rsidR="005F23A4" w:rsidRDefault="005F23A4" w:rsidP="005F23A4">
      <w:pPr>
        <w:pStyle w:val="af5"/>
        <w:numPr>
          <w:ilvl w:val="0"/>
          <w:numId w:val="13"/>
        </w:numPr>
        <w:spacing w:before="120"/>
        <w:ind w:left="690" w:hanging="240"/>
        <w:rPr>
          <w:rFonts w:ascii="等线" w:eastAsia="等线" w:hAnsi="Times New Roman"/>
          <w:color w:val="000000"/>
        </w:rPr>
      </w:pPr>
      <w:r w:rsidRPr="005F23A4">
        <w:rPr>
          <w:rFonts w:ascii="等线" w:eastAsia="等线" w:hAnsi="Times New Roman"/>
          <w:color w:val="000000"/>
        </w:rPr>
        <w:t>Represented Pci-Suntek Technology (600728.SH) in its issuance of A shares for acquisition of PCI Technology &amp; Service Co., Ltd. and PCI Service Support Technology Co.,Ltd.</w:t>
      </w:r>
    </w:p>
    <w:p w14:paraId="69B6C912" w14:textId="77777777" w:rsidR="005F23A4" w:rsidRDefault="005F23A4" w:rsidP="005F23A4">
      <w:pPr>
        <w:pStyle w:val="af5"/>
        <w:numPr>
          <w:ilvl w:val="0"/>
          <w:numId w:val="14"/>
        </w:numPr>
        <w:spacing w:before="120"/>
        <w:ind w:left="690" w:hanging="240"/>
        <w:rPr>
          <w:rFonts w:ascii="等线" w:eastAsia="等线" w:hAnsi="Times New Roman"/>
          <w:color w:val="000000"/>
        </w:rPr>
      </w:pPr>
      <w:r w:rsidRPr="005F23A4">
        <w:rPr>
          <w:rFonts w:ascii="等线" w:eastAsia="等线" w:hAnsi="Times New Roman"/>
          <w:color w:val="000000"/>
        </w:rPr>
        <w:t>Represented Hongda Blasting (002683.SZ) in its issuance of A shares for acquisition of Xinhuadu Engineering and Lianshaojiangong Group</w:t>
      </w:r>
    </w:p>
    <w:p w14:paraId="56ADD13C" w14:textId="77777777" w:rsidR="005F23A4" w:rsidRDefault="005F23A4" w:rsidP="005F23A4">
      <w:pPr>
        <w:pStyle w:val="af5"/>
        <w:numPr>
          <w:ilvl w:val="0"/>
          <w:numId w:val="15"/>
        </w:numPr>
        <w:spacing w:before="120"/>
        <w:ind w:left="690" w:hanging="240"/>
        <w:rPr>
          <w:rFonts w:ascii="等线" w:eastAsia="等线" w:hAnsi="Times New Roman"/>
          <w:color w:val="000000"/>
        </w:rPr>
      </w:pPr>
      <w:r w:rsidRPr="005F23A4">
        <w:rPr>
          <w:rFonts w:ascii="等线" w:eastAsia="等线" w:hAnsi="Times New Roman"/>
          <w:color w:val="000000"/>
        </w:rPr>
        <w:t>Represented Lvjing Holding (000502.SZ) in its issuance of A shares for acquisition of a domestic company.</w:t>
      </w:r>
    </w:p>
    <w:p w14:paraId="0DD1123B" w14:textId="77777777" w:rsidR="005F23A4" w:rsidRDefault="005F23A4" w:rsidP="005F23A4">
      <w:pPr>
        <w:pStyle w:val="af5"/>
        <w:numPr>
          <w:ilvl w:val="0"/>
          <w:numId w:val="16"/>
        </w:numPr>
        <w:spacing w:before="120"/>
        <w:ind w:left="690" w:hanging="240"/>
        <w:rPr>
          <w:rFonts w:ascii="等线" w:eastAsia="等线" w:hAnsi="Times New Roman"/>
          <w:color w:val="000000"/>
        </w:rPr>
      </w:pPr>
      <w:r w:rsidRPr="005F23A4">
        <w:rPr>
          <w:rFonts w:ascii="等线" w:eastAsia="等线" w:hAnsi="Times New Roman"/>
          <w:color w:val="000000"/>
        </w:rPr>
        <w:t>Represented Southern Publishing and Media (601900.SH) in its issuance of A shares for acquisition of GDXH Issuing Group</w:t>
      </w:r>
    </w:p>
    <w:p w14:paraId="1CF8BF17" w14:textId="77777777" w:rsidR="005F23A4" w:rsidRDefault="005F23A4" w:rsidP="005F23A4">
      <w:pPr>
        <w:pStyle w:val="af5"/>
        <w:spacing w:before="120"/>
        <w:rPr>
          <w:rFonts w:ascii="等线" w:eastAsia="等线" w:hAnsi="Times New Roman"/>
          <w:color w:val="000000"/>
        </w:rPr>
      </w:pPr>
      <w:r w:rsidRPr="005F23A4">
        <w:rPr>
          <w:rFonts w:ascii="等线" w:eastAsia="等线" w:hAnsi="Times New Roman"/>
          <w:color w:val="000000"/>
        </w:rPr>
        <w:t>Hong Kong and Overseas Capital Markets</w:t>
      </w:r>
    </w:p>
    <w:p w14:paraId="6E07359B" w14:textId="77777777" w:rsidR="005F23A4" w:rsidRDefault="005F23A4" w:rsidP="005F23A4">
      <w:pPr>
        <w:pStyle w:val="af5"/>
        <w:numPr>
          <w:ilvl w:val="0"/>
          <w:numId w:val="17"/>
        </w:numPr>
        <w:spacing w:before="120"/>
        <w:ind w:left="690" w:hanging="240"/>
        <w:rPr>
          <w:rFonts w:ascii="等线" w:eastAsia="等线" w:hAnsi="Times New Roman"/>
          <w:color w:val="000000"/>
        </w:rPr>
      </w:pPr>
      <w:r w:rsidRPr="005F23A4">
        <w:rPr>
          <w:rFonts w:ascii="等线" w:eastAsia="等线" w:hAnsi="Times New Roman"/>
          <w:color w:val="000000"/>
        </w:rPr>
        <w:t>Represented BIO-THERA (688177.SH) in its Hong Kong IPO</w:t>
      </w:r>
    </w:p>
    <w:p w14:paraId="00A1CB92" w14:textId="77777777" w:rsidR="005F23A4" w:rsidRDefault="005F23A4" w:rsidP="005F23A4">
      <w:pPr>
        <w:pStyle w:val="af5"/>
        <w:numPr>
          <w:ilvl w:val="0"/>
          <w:numId w:val="18"/>
        </w:numPr>
        <w:spacing w:before="120"/>
        <w:ind w:left="690" w:hanging="240"/>
        <w:rPr>
          <w:rFonts w:ascii="等线" w:eastAsia="等线" w:hAnsi="Times New Roman"/>
          <w:color w:val="000000"/>
        </w:rPr>
      </w:pPr>
      <w:r w:rsidRPr="005F23A4">
        <w:rPr>
          <w:rFonts w:ascii="等线" w:eastAsia="等线" w:hAnsi="Times New Roman"/>
          <w:color w:val="000000"/>
        </w:rPr>
        <w:t>Represented ONION GLOBAL (OG.NYSE) in its US IPO</w:t>
      </w:r>
    </w:p>
    <w:p w14:paraId="65098DF3" w14:textId="77777777" w:rsidR="005F23A4" w:rsidRDefault="005F23A4" w:rsidP="005F23A4">
      <w:pPr>
        <w:pStyle w:val="af5"/>
        <w:numPr>
          <w:ilvl w:val="0"/>
          <w:numId w:val="19"/>
        </w:numPr>
        <w:spacing w:before="120"/>
        <w:ind w:left="690" w:hanging="240"/>
        <w:rPr>
          <w:rFonts w:ascii="等线" w:eastAsia="等线" w:hAnsi="Times New Roman"/>
          <w:color w:val="000000"/>
        </w:rPr>
      </w:pPr>
      <w:r w:rsidRPr="005F23A4">
        <w:rPr>
          <w:rFonts w:ascii="等线" w:eastAsia="等线" w:hAnsi="Times New Roman"/>
          <w:color w:val="000000"/>
        </w:rPr>
        <w:t>Represented the underwriters in the US IPO of LIZHI FM (LIZI.NASDAQ)</w:t>
      </w:r>
    </w:p>
    <w:p w14:paraId="472CE55F" w14:textId="77777777" w:rsidR="005F23A4" w:rsidRDefault="005F23A4" w:rsidP="005F23A4">
      <w:pPr>
        <w:pStyle w:val="af5"/>
        <w:numPr>
          <w:ilvl w:val="0"/>
          <w:numId w:val="20"/>
        </w:numPr>
        <w:spacing w:before="120"/>
        <w:ind w:left="690" w:hanging="240"/>
        <w:rPr>
          <w:rFonts w:ascii="等线" w:eastAsia="等线" w:hAnsi="Times New Roman"/>
          <w:color w:val="000000"/>
        </w:rPr>
      </w:pPr>
      <w:r w:rsidRPr="005F23A4">
        <w:rPr>
          <w:rFonts w:ascii="等线" w:eastAsia="等线" w:hAnsi="Times New Roman"/>
          <w:color w:val="000000"/>
        </w:rPr>
        <w:t>Represented the underwriters in the Hong Kong IPO of Jiumaojiu (9922.HK)</w:t>
      </w:r>
    </w:p>
    <w:p w14:paraId="068BF2BA" w14:textId="77777777" w:rsidR="005F23A4" w:rsidRDefault="005F23A4" w:rsidP="005F23A4">
      <w:pPr>
        <w:pStyle w:val="af5"/>
        <w:numPr>
          <w:ilvl w:val="0"/>
          <w:numId w:val="21"/>
        </w:numPr>
        <w:spacing w:before="120"/>
        <w:ind w:left="690" w:hanging="240"/>
        <w:rPr>
          <w:rFonts w:ascii="等线" w:eastAsia="等线" w:hAnsi="Times New Roman"/>
          <w:color w:val="000000"/>
        </w:rPr>
      </w:pPr>
      <w:r w:rsidRPr="005F23A4">
        <w:rPr>
          <w:rFonts w:ascii="等线" w:eastAsia="等线" w:hAnsi="Times New Roman"/>
          <w:color w:val="000000"/>
        </w:rPr>
        <w:t>Represented Centenary United Holdings (1959.HK) in its Hong Kong IPO</w:t>
      </w:r>
    </w:p>
    <w:p w14:paraId="24A96BD7" w14:textId="77777777" w:rsidR="005F23A4" w:rsidRDefault="005F23A4" w:rsidP="005F23A4">
      <w:pPr>
        <w:pStyle w:val="af5"/>
        <w:numPr>
          <w:ilvl w:val="0"/>
          <w:numId w:val="22"/>
        </w:numPr>
        <w:spacing w:before="120"/>
        <w:ind w:left="690" w:hanging="240"/>
        <w:rPr>
          <w:rFonts w:ascii="等线" w:eastAsia="等线" w:hAnsi="Times New Roman"/>
          <w:color w:val="000000"/>
        </w:rPr>
      </w:pPr>
      <w:r w:rsidRPr="005F23A4">
        <w:rPr>
          <w:rFonts w:ascii="等线" w:eastAsia="等线" w:hAnsi="Times New Roman"/>
          <w:color w:val="000000"/>
        </w:rPr>
        <w:t>Represented Baioo Family Interactive Limited (2100.HK) in its Hong Kong IPO</w:t>
      </w:r>
    </w:p>
    <w:p w14:paraId="748FD751" w14:textId="77777777" w:rsidR="005F23A4" w:rsidRDefault="005F23A4" w:rsidP="005F23A4">
      <w:pPr>
        <w:pStyle w:val="af5"/>
        <w:numPr>
          <w:ilvl w:val="0"/>
          <w:numId w:val="23"/>
        </w:numPr>
        <w:spacing w:before="120"/>
        <w:ind w:left="690" w:hanging="240"/>
        <w:rPr>
          <w:rFonts w:ascii="等线" w:eastAsia="等线" w:hAnsi="Times New Roman"/>
          <w:color w:val="000000"/>
        </w:rPr>
      </w:pPr>
      <w:r w:rsidRPr="005F23A4">
        <w:rPr>
          <w:rFonts w:ascii="等线" w:eastAsia="等线" w:hAnsi="Times New Roman"/>
          <w:color w:val="000000"/>
        </w:rPr>
        <w:t>Represented R&amp;F Group (2777.HK) in its Hong Kong IPO</w:t>
      </w:r>
    </w:p>
    <w:p w14:paraId="4A0C1619" w14:textId="77777777" w:rsidR="005F23A4" w:rsidRDefault="005F23A4" w:rsidP="005F23A4">
      <w:pPr>
        <w:pStyle w:val="af5"/>
        <w:numPr>
          <w:ilvl w:val="0"/>
          <w:numId w:val="24"/>
        </w:numPr>
        <w:spacing w:before="120"/>
        <w:ind w:left="690" w:hanging="240"/>
        <w:rPr>
          <w:rFonts w:ascii="等线" w:eastAsia="等线" w:hAnsi="Times New Roman"/>
          <w:color w:val="000000"/>
        </w:rPr>
      </w:pPr>
      <w:r w:rsidRPr="005F23A4">
        <w:rPr>
          <w:rFonts w:ascii="等线" w:eastAsia="等线" w:hAnsi="Times New Roman"/>
          <w:color w:val="000000"/>
        </w:rPr>
        <w:t>Represented Chongqing Rural Commercial Bank (3618.HK) in its Hong Kong IPO</w:t>
      </w:r>
    </w:p>
    <w:p w14:paraId="232F7151" w14:textId="77777777" w:rsidR="005F23A4" w:rsidRDefault="005F23A4" w:rsidP="005F23A4">
      <w:pPr>
        <w:pStyle w:val="af5"/>
        <w:numPr>
          <w:ilvl w:val="0"/>
          <w:numId w:val="25"/>
        </w:numPr>
        <w:spacing w:before="120"/>
        <w:ind w:left="690" w:hanging="240"/>
        <w:rPr>
          <w:rFonts w:ascii="等线" w:eastAsia="等线" w:hAnsi="Times New Roman"/>
          <w:color w:val="000000"/>
        </w:rPr>
      </w:pPr>
      <w:r w:rsidRPr="005F23A4">
        <w:rPr>
          <w:rFonts w:ascii="等线" w:eastAsia="等线" w:hAnsi="Times New Roman"/>
          <w:color w:val="000000"/>
        </w:rPr>
        <w:t>Represented GAC Group (2238.HK) in its Hong Kong IPO</w:t>
      </w:r>
    </w:p>
    <w:p w14:paraId="40C05DB1" w14:textId="77777777" w:rsidR="005F23A4" w:rsidRDefault="005F23A4" w:rsidP="005F23A4">
      <w:pPr>
        <w:pStyle w:val="af5"/>
        <w:numPr>
          <w:ilvl w:val="0"/>
          <w:numId w:val="26"/>
        </w:numPr>
        <w:spacing w:before="120"/>
        <w:ind w:left="690" w:hanging="240"/>
        <w:rPr>
          <w:rFonts w:ascii="等线" w:eastAsia="等线" w:hAnsi="Times New Roman"/>
          <w:color w:val="000000"/>
        </w:rPr>
      </w:pPr>
      <w:r w:rsidRPr="005F23A4">
        <w:rPr>
          <w:rFonts w:ascii="等线" w:eastAsia="等线" w:hAnsi="Times New Roman"/>
          <w:color w:val="000000"/>
        </w:rPr>
        <w:t>Represented Guangzhou Rural Commercial Bank (1551.HK) in its Hong Kong IPO</w:t>
      </w:r>
    </w:p>
    <w:p w14:paraId="64823E8D" w14:textId="77777777" w:rsidR="005F23A4" w:rsidRDefault="005F23A4" w:rsidP="005F23A4">
      <w:pPr>
        <w:pStyle w:val="af5"/>
        <w:numPr>
          <w:ilvl w:val="0"/>
          <w:numId w:val="27"/>
        </w:numPr>
        <w:spacing w:before="120"/>
        <w:ind w:left="690" w:hanging="240"/>
        <w:rPr>
          <w:rFonts w:ascii="等线" w:eastAsia="等线" w:hAnsi="Times New Roman"/>
          <w:color w:val="000000"/>
        </w:rPr>
      </w:pPr>
      <w:r w:rsidRPr="005F23A4">
        <w:rPr>
          <w:rFonts w:ascii="等线" w:eastAsia="等线" w:hAnsi="Times New Roman"/>
          <w:color w:val="000000"/>
        </w:rPr>
        <w:t>Represented Evergrande Real Estate Group (3333.HK) in its Hong Kong IPO</w:t>
      </w:r>
    </w:p>
    <w:p w14:paraId="36894121" w14:textId="77777777" w:rsidR="005F23A4" w:rsidRDefault="005F23A4" w:rsidP="005F23A4">
      <w:pPr>
        <w:pStyle w:val="af5"/>
        <w:numPr>
          <w:ilvl w:val="0"/>
          <w:numId w:val="28"/>
        </w:numPr>
        <w:spacing w:before="120"/>
        <w:ind w:left="690" w:hanging="240"/>
        <w:rPr>
          <w:rFonts w:ascii="等线" w:eastAsia="等线" w:hAnsi="Times New Roman"/>
          <w:color w:val="000000"/>
        </w:rPr>
      </w:pPr>
      <w:r w:rsidRPr="005F23A4">
        <w:rPr>
          <w:rFonts w:ascii="等线" w:eastAsia="等线" w:hAnsi="Times New Roman"/>
          <w:color w:val="000000"/>
        </w:rPr>
        <w:t>Represented LIZHI FM (LIZI.NASDAQ) in its subsequent issue of additional shares</w:t>
      </w:r>
    </w:p>
    <w:p w14:paraId="036F77CF" w14:textId="77777777" w:rsidR="005F23A4" w:rsidRDefault="005F23A4" w:rsidP="005F23A4">
      <w:pPr>
        <w:pStyle w:val="af5"/>
        <w:spacing w:before="120"/>
        <w:rPr>
          <w:rFonts w:ascii="等线" w:eastAsia="等线" w:hAnsi="Times New Roman"/>
          <w:color w:val="000000"/>
        </w:rPr>
      </w:pPr>
      <w:r w:rsidRPr="005F23A4">
        <w:rPr>
          <w:rFonts w:ascii="等线" w:eastAsia="等线" w:hAnsi="Times New Roman"/>
          <w:color w:val="000000"/>
        </w:rPr>
        <w:t>M&amp;A</w:t>
      </w:r>
    </w:p>
    <w:p w14:paraId="5ED567D8" w14:textId="77777777" w:rsidR="005F23A4" w:rsidRDefault="005F23A4" w:rsidP="005F23A4">
      <w:pPr>
        <w:pStyle w:val="af5"/>
        <w:numPr>
          <w:ilvl w:val="0"/>
          <w:numId w:val="29"/>
        </w:numPr>
        <w:spacing w:before="120"/>
        <w:ind w:left="690" w:hanging="240"/>
        <w:rPr>
          <w:rFonts w:ascii="等线" w:eastAsia="等线" w:hAnsi="Times New Roman"/>
          <w:color w:val="000000"/>
        </w:rPr>
      </w:pPr>
      <w:r w:rsidRPr="005F23A4">
        <w:rPr>
          <w:rFonts w:ascii="等线" w:eastAsia="等线" w:hAnsi="Times New Roman"/>
          <w:color w:val="000000"/>
        </w:rPr>
        <w:t>Represented Guangzhou Pearl River Enterprises Group in its co-acquisition with Guangzhou State-owned Capital Operation Holdings Co., Ltd. of controlling shares in JSTI Group (300284.SZ) by way of agreed transfer combined with private placement</w:t>
      </w:r>
    </w:p>
    <w:p w14:paraId="166C2DD8" w14:textId="77777777" w:rsidR="005F23A4" w:rsidRDefault="005F23A4" w:rsidP="005F23A4">
      <w:pPr>
        <w:pStyle w:val="af5"/>
        <w:numPr>
          <w:ilvl w:val="0"/>
          <w:numId w:val="30"/>
        </w:numPr>
        <w:spacing w:before="120"/>
        <w:ind w:left="690" w:hanging="240"/>
        <w:rPr>
          <w:rFonts w:ascii="等线" w:eastAsia="等线" w:hAnsi="Times New Roman"/>
          <w:color w:val="000000"/>
        </w:rPr>
      </w:pPr>
      <w:r w:rsidRPr="005F23A4">
        <w:rPr>
          <w:rFonts w:ascii="等线" w:eastAsia="等线" w:hAnsi="Times New Roman"/>
          <w:color w:val="000000"/>
        </w:rPr>
        <w:t>Represented China Orient Asset Management Co., Ltd. in its acquisition of shares in Perfect World</w:t>
      </w:r>
      <w:r w:rsidRPr="005F23A4">
        <w:rPr>
          <w:rFonts w:ascii="等线" w:eastAsia="等线" w:hAnsi="Times New Roman"/>
          <w:color w:val="000000"/>
        </w:rPr>
        <w:t> </w:t>
      </w:r>
      <w:r w:rsidRPr="005F23A4">
        <w:rPr>
          <w:rFonts w:ascii="等线" w:eastAsia="等线" w:hAnsi="Times New Roman"/>
          <w:color w:val="000000"/>
        </w:rPr>
        <w:t xml:space="preserve"> (002624.SZ)</w:t>
      </w:r>
    </w:p>
    <w:p w14:paraId="24548354" w14:textId="77777777" w:rsidR="005F23A4" w:rsidRDefault="005F23A4" w:rsidP="005F23A4">
      <w:pPr>
        <w:pStyle w:val="af5"/>
        <w:numPr>
          <w:ilvl w:val="0"/>
          <w:numId w:val="31"/>
        </w:numPr>
        <w:spacing w:before="120"/>
        <w:ind w:left="690" w:hanging="240"/>
        <w:rPr>
          <w:rFonts w:ascii="等线" w:eastAsia="等线" w:hAnsi="Times New Roman"/>
          <w:color w:val="000000"/>
        </w:rPr>
      </w:pPr>
      <w:r w:rsidRPr="005F23A4">
        <w:rPr>
          <w:rFonts w:ascii="等线" w:eastAsia="等线" w:hAnsi="Times New Roman"/>
          <w:color w:val="000000"/>
        </w:rPr>
        <w:t>Represented Beijing Dongfu Tianheng Investment Center (L.P.) in its investment in China CSSC Holdings Limited (600150.SH)</w:t>
      </w:r>
    </w:p>
    <w:p w14:paraId="5A0D8F88" w14:textId="77777777" w:rsidR="005F23A4" w:rsidRDefault="005F23A4" w:rsidP="005F23A4">
      <w:pPr>
        <w:pStyle w:val="af5"/>
        <w:numPr>
          <w:ilvl w:val="0"/>
          <w:numId w:val="32"/>
        </w:numPr>
        <w:spacing w:before="120"/>
        <w:ind w:left="690" w:hanging="240"/>
        <w:rPr>
          <w:rFonts w:ascii="等线" w:eastAsia="等线" w:hAnsi="Times New Roman"/>
          <w:color w:val="000000"/>
        </w:rPr>
      </w:pPr>
      <w:r w:rsidRPr="005F23A4">
        <w:rPr>
          <w:rFonts w:ascii="等线" w:eastAsia="等线" w:hAnsi="Times New Roman"/>
          <w:color w:val="000000"/>
        </w:rPr>
        <w:t>Represented Pci-Suntek Technology (600728.SH) in its issuance of shares for acquisition of PCI Technology &amp; Service Co., Ltd. and PCI Service Support Technology Co.,Ltd.</w:t>
      </w:r>
    </w:p>
    <w:p w14:paraId="4257B147" w14:textId="77777777" w:rsidR="005F23A4" w:rsidRDefault="005F23A4" w:rsidP="005F23A4">
      <w:pPr>
        <w:pStyle w:val="af5"/>
        <w:numPr>
          <w:ilvl w:val="0"/>
          <w:numId w:val="33"/>
        </w:numPr>
        <w:spacing w:before="120"/>
        <w:ind w:left="690" w:hanging="240"/>
        <w:rPr>
          <w:rFonts w:ascii="等线" w:eastAsia="等线" w:hAnsi="Times New Roman"/>
          <w:color w:val="000000"/>
        </w:rPr>
      </w:pPr>
      <w:r w:rsidRPr="005F23A4">
        <w:rPr>
          <w:rFonts w:ascii="等线" w:eastAsia="等线" w:hAnsi="Times New Roman"/>
          <w:color w:val="000000"/>
        </w:rPr>
        <w:t>Represented Pci-Suntek Technology (600728.SH) in its acquisition of TYL Technology</w:t>
      </w:r>
    </w:p>
    <w:p w14:paraId="2C5D2ACF" w14:textId="77777777" w:rsidR="005F23A4" w:rsidRDefault="005F23A4" w:rsidP="005F23A4">
      <w:pPr>
        <w:pStyle w:val="af5"/>
        <w:numPr>
          <w:ilvl w:val="0"/>
          <w:numId w:val="34"/>
        </w:numPr>
        <w:spacing w:before="120"/>
        <w:ind w:left="690" w:hanging="240"/>
        <w:rPr>
          <w:rFonts w:ascii="等线" w:eastAsia="等线" w:hAnsi="Times New Roman"/>
          <w:color w:val="000000"/>
        </w:rPr>
      </w:pPr>
      <w:r w:rsidRPr="005F23A4">
        <w:rPr>
          <w:rFonts w:ascii="等线" w:eastAsia="等线" w:hAnsi="Times New Roman"/>
          <w:color w:val="000000"/>
        </w:rPr>
        <w:t>Represented Hongda Blasting (002683.SZ) in its issuance of A shares for acquisition of Xinhuadu Engineering and Lianshao Jiangong Group</w:t>
      </w:r>
    </w:p>
    <w:p w14:paraId="4D5D7DEE" w14:textId="77777777" w:rsidR="005F23A4" w:rsidRDefault="005F23A4" w:rsidP="005F23A4">
      <w:pPr>
        <w:pStyle w:val="af5"/>
        <w:numPr>
          <w:ilvl w:val="0"/>
          <w:numId w:val="35"/>
        </w:numPr>
        <w:spacing w:before="120"/>
        <w:ind w:left="690" w:hanging="240"/>
        <w:rPr>
          <w:rFonts w:ascii="等线" w:eastAsia="等线" w:hAnsi="Times New Roman"/>
          <w:color w:val="000000"/>
        </w:rPr>
      </w:pPr>
      <w:r w:rsidRPr="005F23A4">
        <w:rPr>
          <w:rFonts w:ascii="等线" w:eastAsia="等线" w:hAnsi="Times New Roman"/>
          <w:color w:val="000000"/>
        </w:rPr>
        <w:t>Represented Lvjing Holding (000502.SZ) in its issuance of A shares for acquisition of a company in China某境内公司</w:t>
      </w:r>
    </w:p>
    <w:p w14:paraId="7C486677" w14:textId="77777777" w:rsidR="005F23A4" w:rsidRDefault="005F23A4" w:rsidP="005F23A4">
      <w:pPr>
        <w:pStyle w:val="af5"/>
        <w:numPr>
          <w:ilvl w:val="0"/>
          <w:numId w:val="36"/>
        </w:numPr>
        <w:spacing w:before="120"/>
        <w:ind w:left="690" w:hanging="240"/>
        <w:rPr>
          <w:rFonts w:ascii="等线" w:eastAsia="等线" w:hAnsi="Times New Roman"/>
          <w:color w:val="000000"/>
        </w:rPr>
      </w:pPr>
      <w:r w:rsidRPr="005F23A4">
        <w:rPr>
          <w:rFonts w:ascii="等线" w:eastAsia="等线" w:hAnsi="Times New Roman"/>
          <w:color w:val="000000"/>
        </w:rPr>
        <w:t>Represented Southern Publishing and Media (601900.SH) in its issuance of A shares for acquisition of GDXH Issuing Group</w:t>
      </w:r>
    </w:p>
    <w:p w14:paraId="3FEA89C2" w14:textId="77777777" w:rsidR="005F23A4" w:rsidRDefault="005F23A4" w:rsidP="005F23A4">
      <w:pPr>
        <w:pStyle w:val="af5"/>
        <w:numPr>
          <w:ilvl w:val="0"/>
          <w:numId w:val="37"/>
        </w:numPr>
        <w:spacing w:before="120"/>
        <w:ind w:left="690" w:hanging="240"/>
        <w:rPr>
          <w:rFonts w:ascii="等线" w:eastAsia="等线" w:hAnsi="Times New Roman"/>
          <w:color w:val="000000"/>
        </w:rPr>
      </w:pPr>
      <w:r w:rsidRPr="005F23A4">
        <w:rPr>
          <w:rFonts w:ascii="等线" w:eastAsia="等线" w:hAnsi="Times New Roman"/>
          <w:color w:val="000000"/>
        </w:rPr>
        <w:t>Represented Hongda Xingye Co.,Ltd., in its acquisition of Jiangsu Qionghua High-Tech Co., Ltd. (002002.SZ)</w:t>
      </w:r>
    </w:p>
    <w:p w14:paraId="5282378E" w14:textId="77777777" w:rsidR="005F23A4" w:rsidRDefault="005F23A4" w:rsidP="005F23A4">
      <w:pPr>
        <w:pStyle w:val="af5"/>
        <w:numPr>
          <w:ilvl w:val="0"/>
          <w:numId w:val="38"/>
        </w:numPr>
        <w:spacing w:before="120"/>
        <w:ind w:left="690" w:hanging="240"/>
        <w:rPr>
          <w:rFonts w:ascii="等线" w:eastAsia="等线" w:hAnsi="Times New Roman"/>
          <w:color w:val="000000"/>
        </w:rPr>
      </w:pPr>
      <w:r w:rsidRPr="005F23A4">
        <w:rPr>
          <w:rFonts w:ascii="等线" w:eastAsia="等线" w:hAnsi="Times New Roman"/>
          <w:color w:val="000000"/>
        </w:rPr>
        <w:t>Represented Sichuan BRC in its acquisition of DiKang Pharmaceuticals (600466.SH)</w:t>
      </w:r>
    </w:p>
    <w:p w14:paraId="478526C1" w14:textId="77777777" w:rsidR="005F23A4" w:rsidRDefault="005F23A4" w:rsidP="005F23A4">
      <w:pPr>
        <w:pStyle w:val="af5"/>
        <w:numPr>
          <w:ilvl w:val="0"/>
          <w:numId w:val="39"/>
        </w:numPr>
        <w:spacing w:before="120"/>
        <w:ind w:left="690" w:hanging="240"/>
        <w:rPr>
          <w:rFonts w:ascii="等线" w:eastAsia="等线" w:hAnsi="Times New Roman"/>
          <w:color w:val="000000"/>
        </w:rPr>
      </w:pPr>
      <w:r w:rsidRPr="005F23A4">
        <w:rPr>
          <w:rFonts w:ascii="等线" w:eastAsia="等线" w:hAnsi="Times New Roman"/>
          <w:color w:val="000000"/>
        </w:rPr>
        <w:t>Represented Desay Battery in its acquisition of Shenzhen Worldsun Enterprises Co.Ltd.</w:t>
      </w:r>
      <w:r w:rsidRPr="005F23A4">
        <w:rPr>
          <w:rFonts w:ascii="等线" w:eastAsia="等线" w:hAnsi="Times New Roman"/>
          <w:color w:val="000000"/>
        </w:rPr>
        <w:t> </w:t>
      </w:r>
      <w:r w:rsidRPr="005F23A4">
        <w:rPr>
          <w:rFonts w:ascii="等线" w:eastAsia="等线" w:hAnsi="Times New Roman"/>
          <w:color w:val="000000"/>
        </w:rPr>
        <w:t xml:space="preserve"> (000049.SZ)</w:t>
      </w:r>
    </w:p>
    <w:p w14:paraId="533F51F3" w14:textId="77777777" w:rsidR="005F23A4" w:rsidRDefault="005F23A4" w:rsidP="005F23A4">
      <w:pPr>
        <w:pStyle w:val="af5"/>
        <w:numPr>
          <w:ilvl w:val="0"/>
          <w:numId w:val="40"/>
        </w:numPr>
        <w:spacing w:before="120"/>
        <w:ind w:left="690" w:hanging="240"/>
        <w:rPr>
          <w:rFonts w:ascii="等线" w:eastAsia="等线" w:hAnsi="Times New Roman"/>
          <w:color w:val="000000"/>
        </w:rPr>
      </w:pPr>
      <w:r w:rsidRPr="005F23A4">
        <w:rPr>
          <w:rFonts w:ascii="等线" w:eastAsia="等线" w:hAnsi="Times New Roman"/>
          <w:color w:val="000000"/>
        </w:rPr>
        <w:t>Represented Vobile Group (3738.HK) in its acquisition of Particle Culture Technology Group (Hangzhou) Co., Ltd.</w:t>
      </w:r>
    </w:p>
    <w:p w14:paraId="4F821600" w14:textId="77777777" w:rsidR="005F23A4" w:rsidRDefault="005F23A4" w:rsidP="005F23A4">
      <w:pPr>
        <w:pStyle w:val="af5"/>
        <w:numPr>
          <w:ilvl w:val="0"/>
          <w:numId w:val="41"/>
        </w:numPr>
        <w:spacing w:before="120"/>
        <w:ind w:left="690" w:hanging="240"/>
        <w:rPr>
          <w:rFonts w:ascii="等线" w:eastAsia="等线" w:hAnsi="Times New Roman"/>
          <w:color w:val="000000"/>
        </w:rPr>
      </w:pPr>
      <w:r w:rsidRPr="005F23A4">
        <w:rPr>
          <w:rFonts w:ascii="等线" w:eastAsia="等线" w:hAnsi="Times New Roman"/>
          <w:color w:val="000000"/>
        </w:rPr>
        <w:t>Represented VNET Group (VNET.NASDAQ) in its acquisition of an advanced materials company in China</w:t>
      </w:r>
    </w:p>
    <w:p w14:paraId="0A7FE76E" w14:textId="77777777" w:rsidR="005F23A4" w:rsidRDefault="005F23A4" w:rsidP="005F23A4">
      <w:pPr>
        <w:pStyle w:val="af5"/>
        <w:numPr>
          <w:ilvl w:val="0"/>
          <w:numId w:val="42"/>
        </w:numPr>
        <w:spacing w:before="120"/>
        <w:ind w:left="690" w:hanging="240"/>
        <w:rPr>
          <w:rFonts w:ascii="等线" w:eastAsia="等线" w:hAnsi="Times New Roman"/>
          <w:color w:val="000000"/>
        </w:rPr>
      </w:pPr>
      <w:r w:rsidRPr="005F23A4">
        <w:rPr>
          <w:rFonts w:ascii="等线" w:eastAsia="等线" w:hAnsi="Times New Roman"/>
          <w:color w:val="000000"/>
        </w:rPr>
        <w:t>Represented WeRide in its acquisition of MoonX</w:t>
      </w:r>
    </w:p>
    <w:p w14:paraId="6F92F453" w14:textId="77777777" w:rsidR="005F23A4" w:rsidRDefault="005F23A4" w:rsidP="005F23A4">
      <w:pPr>
        <w:pStyle w:val="af5"/>
        <w:spacing w:before="120"/>
        <w:rPr>
          <w:rFonts w:ascii="等线" w:eastAsia="等线" w:hAnsi="Times New Roman"/>
          <w:color w:val="000000"/>
        </w:rPr>
      </w:pPr>
      <w:r w:rsidRPr="005F23A4">
        <w:rPr>
          <w:rFonts w:ascii="等线" w:eastAsia="等线" w:hAnsi="Times New Roman"/>
          <w:color w:val="000000"/>
        </w:rPr>
        <w:t>Private Equity</w:t>
      </w:r>
    </w:p>
    <w:p w14:paraId="1708B717" w14:textId="77777777" w:rsidR="005F23A4" w:rsidRDefault="005F23A4" w:rsidP="005F23A4">
      <w:pPr>
        <w:pStyle w:val="af5"/>
        <w:numPr>
          <w:ilvl w:val="0"/>
          <w:numId w:val="43"/>
        </w:numPr>
        <w:spacing w:before="120"/>
        <w:ind w:left="690" w:hanging="240"/>
        <w:rPr>
          <w:rFonts w:ascii="等线" w:eastAsia="等线" w:hAnsi="Times New Roman"/>
          <w:color w:val="000000"/>
        </w:rPr>
      </w:pPr>
      <w:r w:rsidRPr="005F23A4">
        <w:rPr>
          <w:rFonts w:ascii="等线" w:eastAsia="等线" w:hAnsi="Times New Roman"/>
          <w:color w:val="000000"/>
        </w:rPr>
        <w:t>Provided legal services related to financing and general corporate matters for several enterprises, such as SmartGiant, WEIMEIZI, ONION GLOBAL, Sembo Block, EVE CHARM, MIDU, MAYDOS, HEA, HUMMcars, ETOP GROUP, YUNKEZAN.COM, PEANUT DIARY, Techtotop, Top Ideal, HuaYuan Landscape, BAIYOU and Times China.</w:t>
      </w:r>
    </w:p>
    <w:p w14:paraId="09B159E3" w14:textId="77777777" w:rsidR="005F23A4" w:rsidRDefault="005F23A4" w:rsidP="005F23A4">
      <w:pPr>
        <w:pStyle w:val="af5"/>
        <w:numPr>
          <w:ilvl w:val="0"/>
          <w:numId w:val="44"/>
        </w:numPr>
        <w:spacing w:before="120"/>
        <w:ind w:left="690" w:hanging="240"/>
        <w:rPr>
          <w:rFonts w:ascii="等线" w:eastAsia="等线" w:hAnsi="Times New Roman"/>
          <w:color w:val="000000"/>
        </w:rPr>
      </w:pPr>
      <w:r w:rsidRPr="005F23A4">
        <w:rPr>
          <w:rFonts w:ascii="等线" w:eastAsia="等线" w:hAnsi="Times New Roman"/>
          <w:color w:val="000000"/>
        </w:rPr>
        <w:t>Provided legal services related to investment and general corporate matters for several private equity clients, such as Coatue, SFUND, CSTC, Wens Investment, Gortune Investment, Zhuchuang Investment, Cinda Kunpeng Investment, Guangzheng Jinjun Investment, Hongye Guangdian Industry Investment, Orient Bangxin Capital, Yuexiu Financial Leasing and China Orient Asset Management.</w:t>
      </w:r>
    </w:p>
    <w:p w14:paraId="1CE799FE" w14:textId="77777777" w:rsidR="005F23A4" w:rsidRDefault="005F23A4" w:rsidP="005F23A4">
      <w:pPr>
        <w:pStyle w:val="af5"/>
        <w:spacing w:after="0" w:line="480" w:lineRule="auto"/>
        <w:rPr>
          <w:rFonts w:ascii="等线" w:eastAsia="等线" w:hAnsi="等线"/>
          <w:b/>
          <w:sz w:val="24"/>
        </w:rPr>
      </w:pPr>
      <w:r w:rsidRPr="005F23A4">
        <w:rPr>
          <w:rFonts w:ascii="等线" w:eastAsia="等线" w:hAnsi="等线"/>
          <w:b/>
          <w:sz w:val="24"/>
        </w:rPr>
        <w:t>Education</w:t>
      </w:r>
    </w:p>
    <w:p w14:paraId="59A5AC8D" w14:textId="77777777" w:rsidR="005F23A4" w:rsidRDefault="005F23A4" w:rsidP="005F23A4">
      <w:pPr>
        <w:pStyle w:val="af5"/>
        <w:numPr>
          <w:ilvl w:val="0"/>
          <w:numId w:val="45"/>
        </w:numPr>
        <w:spacing w:before="120"/>
        <w:ind w:left="690" w:hanging="240"/>
        <w:rPr>
          <w:rFonts w:ascii="等线" w:eastAsia="等线" w:hAnsi="Times New Roman"/>
          <w:color w:val="000000"/>
        </w:rPr>
      </w:pPr>
      <w:r w:rsidRPr="005F23A4">
        <w:rPr>
          <w:rFonts w:ascii="等线" w:eastAsia="等线" w:hAnsi="Times New Roman"/>
          <w:color w:val="000000"/>
        </w:rPr>
        <w:t>Sun Yat-sen University, LL.M.</w:t>
      </w:r>
    </w:p>
    <w:p w14:paraId="53E44311" w14:textId="77777777" w:rsidR="005F23A4" w:rsidRDefault="005F23A4" w:rsidP="005F23A4">
      <w:pPr>
        <w:pStyle w:val="af5"/>
        <w:numPr>
          <w:ilvl w:val="0"/>
          <w:numId w:val="46"/>
        </w:numPr>
        <w:spacing w:before="120"/>
        <w:ind w:left="690" w:hanging="240"/>
        <w:rPr>
          <w:rFonts w:ascii="等线" w:eastAsia="等线" w:hAnsi="Times New Roman"/>
          <w:color w:val="000000"/>
        </w:rPr>
      </w:pPr>
      <w:r w:rsidRPr="005F23A4">
        <w:rPr>
          <w:rFonts w:ascii="等线" w:eastAsia="等线" w:hAnsi="Times New Roman"/>
          <w:color w:val="000000"/>
        </w:rPr>
        <w:t>Sun Yat-sen University, LL.B.</w:t>
      </w:r>
    </w:p>
    <w:p w14:paraId="25EB2A5A" w14:textId="77777777" w:rsidR="005F23A4" w:rsidRDefault="005F23A4" w:rsidP="005F23A4">
      <w:pPr>
        <w:pStyle w:val="af5"/>
        <w:spacing w:after="0" w:line="480" w:lineRule="auto"/>
        <w:rPr>
          <w:rFonts w:ascii="等线" w:eastAsia="等线" w:hAnsi="等线"/>
          <w:b/>
          <w:sz w:val="24"/>
        </w:rPr>
      </w:pPr>
      <w:r w:rsidRPr="005F23A4">
        <w:rPr>
          <w:rFonts w:ascii="等线" w:eastAsia="等线" w:hAnsi="等线"/>
          <w:b/>
          <w:sz w:val="24"/>
        </w:rPr>
        <w:t>Professional Qualification</w:t>
      </w:r>
    </w:p>
    <w:p w14:paraId="009A4FEA" w14:textId="77777777" w:rsidR="005F23A4" w:rsidRDefault="005F23A4" w:rsidP="005F23A4">
      <w:pPr>
        <w:pStyle w:val="af5"/>
        <w:numPr>
          <w:ilvl w:val="0"/>
          <w:numId w:val="47"/>
        </w:numPr>
        <w:spacing w:before="120"/>
        <w:ind w:left="690" w:hanging="240"/>
        <w:rPr>
          <w:rFonts w:ascii="等线" w:eastAsia="等线" w:hAnsi="Times New Roman"/>
          <w:color w:val="000000"/>
        </w:rPr>
      </w:pPr>
      <w:r w:rsidRPr="005F23A4">
        <w:rPr>
          <w:rFonts w:ascii="等线" w:eastAsia="等线" w:hAnsi="Times New Roman"/>
          <w:color w:val="000000"/>
        </w:rPr>
        <w:t>Admitted to practice in the PRC</w:t>
      </w:r>
    </w:p>
    <w:p w14:paraId="48949558" w14:textId="77777777" w:rsidR="005F23A4" w:rsidRDefault="005F23A4" w:rsidP="005F23A4">
      <w:pPr>
        <w:pStyle w:val="af5"/>
        <w:spacing w:after="0" w:line="480" w:lineRule="auto"/>
        <w:rPr>
          <w:rFonts w:ascii="等线" w:eastAsia="等线" w:hAnsi="等线"/>
          <w:b/>
          <w:sz w:val="24"/>
        </w:rPr>
      </w:pPr>
      <w:r w:rsidRPr="005F23A4">
        <w:rPr>
          <w:rFonts w:ascii="等线" w:eastAsia="等线" w:hAnsi="等线"/>
          <w:b/>
          <w:sz w:val="24"/>
        </w:rPr>
        <w:t>Professional Background</w:t>
      </w:r>
    </w:p>
    <w:p w14:paraId="052160E7" w14:textId="77777777" w:rsidR="005F23A4" w:rsidRDefault="005F23A4" w:rsidP="005F23A4">
      <w:pPr>
        <w:pStyle w:val="af5"/>
        <w:numPr>
          <w:ilvl w:val="0"/>
          <w:numId w:val="48"/>
        </w:numPr>
        <w:spacing w:before="120"/>
        <w:ind w:left="690" w:hanging="240"/>
        <w:rPr>
          <w:rFonts w:ascii="等线" w:eastAsia="等线" w:hAnsi="Times New Roman"/>
          <w:color w:val="000000"/>
        </w:rPr>
      </w:pPr>
      <w:r w:rsidRPr="005F23A4">
        <w:rPr>
          <w:rFonts w:ascii="等线" w:eastAsia="等线" w:hAnsi="Times New Roman"/>
          <w:color w:val="000000"/>
        </w:rPr>
        <w:t>Before joining Fangda Partners, Ms. Zhang worked as a partner at another leading PRC law firm. In recent years, Ms. Zhang has been admitted by a number of well-known legal media, including The Legal 500 and IFLR 1000, for several times.</w:t>
      </w:r>
    </w:p>
    <w:p w14:paraId="794462B5" w14:textId="77777777" w:rsidR="005F23A4" w:rsidRDefault="005F23A4" w:rsidP="005F23A4">
      <w:pPr>
        <w:pStyle w:val="af5"/>
        <w:spacing w:after="0" w:line="480" w:lineRule="auto"/>
        <w:rPr>
          <w:rFonts w:ascii="等线" w:eastAsia="等线" w:hAnsi="等线"/>
          <w:b/>
          <w:sz w:val="24"/>
        </w:rPr>
      </w:pPr>
      <w:r w:rsidRPr="005F23A4">
        <w:rPr>
          <w:rFonts w:ascii="等线" w:eastAsia="等线" w:hAnsi="等线"/>
          <w:b/>
          <w:sz w:val="24"/>
        </w:rPr>
        <w:t>OTHER INFORMATION</w:t>
      </w:r>
    </w:p>
    <w:p w14:paraId="77DC6805" w14:textId="77777777" w:rsidR="005F23A4" w:rsidRDefault="005F23A4" w:rsidP="005F23A4">
      <w:pPr>
        <w:pStyle w:val="af5"/>
        <w:spacing w:after="0" w:line="480" w:lineRule="auto"/>
        <w:rPr>
          <w:rFonts w:ascii="等线" w:eastAsia="等线" w:hAnsi="等线"/>
          <w:b/>
          <w:sz w:val="24"/>
        </w:rPr>
      </w:pPr>
      <w:r w:rsidRPr="005F23A4">
        <w:rPr>
          <w:rFonts w:ascii="等线" w:eastAsia="等线" w:hAnsi="等线"/>
          <w:b/>
          <w:sz w:val="24"/>
        </w:rPr>
        <w:t>Professional Affiliations</w:t>
      </w:r>
    </w:p>
    <w:p w14:paraId="5567FC3C" w14:textId="637C5AED" w:rsidR="00686369" w:rsidRPr="005F23A4" w:rsidRDefault="005F23A4" w:rsidP="005F23A4">
      <w:pPr>
        <w:pStyle w:val="af5"/>
        <w:numPr>
          <w:ilvl w:val="0"/>
          <w:numId w:val="49"/>
        </w:numPr>
        <w:spacing w:before="120"/>
        <w:ind w:left="690" w:hanging="240"/>
        <w:rPr>
          <w:rFonts w:ascii="等线" w:eastAsia="等线" w:hAnsi="Times New Roman"/>
          <w:color w:val="000000"/>
        </w:rPr>
      </w:pPr>
      <w:r w:rsidRPr="005F23A4">
        <w:rPr>
          <w:rFonts w:ascii="等线" w:eastAsia="等线" w:hAnsi="Times New Roman"/>
          <w:color w:val="000000"/>
        </w:rPr>
        <w:t xml:space="preserve">Member of the All China Lawyers Association </w:t>
      </w:r>
    </w:p>
    <w:sectPr w:rsidR="00686369" w:rsidRPr="005F23A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0E6C"/>
    <w:multiLevelType w:val="singleLevel"/>
    <w:tmpl w:val="5472FEB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D7276F"/>
    <w:multiLevelType w:val="singleLevel"/>
    <w:tmpl w:val="98A69B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343471"/>
    <w:multiLevelType w:val="singleLevel"/>
    <w:tmpl w:val="080CF94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6658C5"/>
    <w:multiLevelType w:val="singleLevel"/>
    <w:tmpl w:val="903258B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2D3D00"/>
    <w:multiLevelType w:val="singleLevel"/>
    <w:tmpl w:val="A47495E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7D2699"/>
    <w:multiLevelType w:val="singleLevel"/>
    <w:tmpl w:val="1C36A30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9127E8"/>
    <w:multiLevelType w:val="singleLevel"/>
    <w:tmpl w:val="8A06AD0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E75687"/>
    <w:multiLevelType w:val="singleLevel"/>
    <w:tmpl w:val="6DE09EA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8F2B17"/>
    <w:multiLevelType w:val="singleLevel"/>
    <w:tmpl w:val="69707F7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221DCA"/>
    <w:multiLevelType w:val="singleLevel"/>
    <w:tmpl w:val="F148F8C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4E5494"/>
    <w:multiLevelType w:val="singleLevel"/>
    <w:tmpl w:val="237CA0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A863F1"/>
    <w:multiLevelType w:val="singleLevel"/>
    <w:tmpl w:val="B504114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F32C97"/>
    <w:multiLevelType w:val="singleLevel"/>
    <w:tmpl w:val="65C80F8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280591"/>
    <w:multiLevelType w:val="singleLevel"/>
    <w:tmpl w:val="B9C2C39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80511D"/>
    <w:multiLevelType w:val="singleLevel"/>
    <w:tmpl w:val="9A6EDE7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227807"/>
    <w:multiLevelType w:val="singleLevel"/>
    <w:tmpl w:val="317495B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4C41E57"/>
    <w:multiLevelType w:val="singleLevel"/>
    <w:tmpl w:val="586CBC9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9085308"/>
    <w:multiLevelType w:val="singleLevel"/>
    <w:tmpl w:val="6ACEEBE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295C4F"/>
    <w:multiLevelType w:val="singleLevel"/>
    <w:tmpl w:val="31E0C56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E151C"/>
    <w:multiLevelType w:val="singleLevel"/>
    <w:tmpl w:val="2296332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7B6A43"/>
    <w:multiLevelType w:val="singleLevel"/>
    <w:tmpl w:val="69707F7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F74AA4"/>
    <w:multiLevelType w:val="singleLevel"/>
    <w:tmpl w:val="C76AA94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2D0E19"/>
    <w:multiLevelType w:val="singleLevel"/>
    <w:tmpl w:val="3892ACC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DE3317"/>
    <w:multiLevelType w:val="singleLevel"/>
    <w:tmpl w:val="7F148CC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84326DC"/>
    <w:multiLevelType w:val="singleLevel"/>
    <w:tmpl w:val="789A180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275F82"/>
    <w:multiLevelType w:val="singleLevel"/>
    <w:tmpl w:val="014C33A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C3243C"/>
    <w:multiLevelType w:val="singleLevel"/>
    <w:tmpl w:val="AC641C5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A55366"/>
    <w:multiLevelType w:val="singleLevel"/>
    <w:tmpl w:val="74D0D69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565601"/>
    <w:multiLevelType w:val="singleLevel"/>
    <w:tmpl w:val="43D0CD9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C55EE2"/>
    <w:multiLevelType w:val="singleLevel"/>
    <w:tmpl w:val="00D0855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CD838FF"/>
    <w:multiLevelType w:val="singleLevel"/>
    <w:tmpl w:val="386CD63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EB2441"/>
    <w:multiLevelType w:val="singleLevel"/>
    <w:tmpl w:val="074099D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0D13593"/>
    <w:multiLevelType w:val="singleLevel"/>
    <w:tmpl w:val="24B6E15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1A4EF0"/>
    <w:multiLevelType w:val="singleLevel"/>
    <w:tmpl w:val="D9FA048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5AC6076"/>
    <w:multiLevelType w:val="singleLevel"/>
    <w:tmpl w:val="CB5C318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5B65FE7"/>
    <w:multiLevelType w:val="singleLevel"/>
    <w:tmpl w:val="7962152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DD744B0"/>
    <w:multiLevelType w:val="singleLevel"/>
    <w:tmpl w:val="B6A0AC5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C61F83"/>
    <w:multiLevelType w:val="singleLevel"/>
    <w:tmpl w:val="B20E4FE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F3D01BA"/>
    <w:multiLevelType w:val="singleLevel"/>
    <w:tmpl w:val="FB628E6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1DE4BBC"/>
    <w:multiLevelType w:val="singleLevel"/>
    <w:tmpl w:val="7BF85CA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3FF68B6"/>
    <w:multiLevelType w:val="singleLevel"/>
    <w:tmpl w:val="519A0DA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DC6089B"/>
    <w:multiLevelType w:val="singleLevel"/>
    <w:tmpl w:val="0622C03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E393E60"/>
    <w:multiLevelType w:val="singleLevel"/>
    <w:tmpl w:val="F54AA29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E8832FE"/>
    <w:multiLevelType w:val="singleLevel"/>
    <w:tmpl w:val="AD1A5EF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DC43D3"/>
    <w:multiLevelType w:val="singleLevel"/>
    <w:tmpl w:val="1976364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6F3DBD"/>
    <w:multiLevelType w:val="singleLevel"/>
    <w:tmpl w:val="BBFC433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7763FFF"/>
    <w:multiLevelType w:val="singleLevel"/>
    <w:tmpl w:val="1544105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443EA8"/>
    <w:multiLevelType w:val="singleLevel"/>
    <w:tmpl w:val="5B9E45A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E41AAF"/>
    <w:multiLevelType w:val="singleLevel"/>
    <w:tmpl w:val="1C927560"/>
    <w:lvl w:ilvl="0">
      <w:start w:val="1"/>
      <w:numFmt w:val="bullet"/>
      <w:lvlText w:val=""/>
      <w:lvlJc w:val="left"/>
      <w:pPr>
        <w:tabs>
          <w:tab w:val="num" w:pos="200"/>
        </w:tabs>
        <w:ind w:left="200" w:hanging="200"/>
      </w:pPr>
      <w:rPr>
        <w:rFonts w:ascii="Wingdings" w:hAnsi="Wingdings" w:hint="default"/>
        <w:sz w:val="16"/>
      </w:rPr>
    </w:lvl>
  </w:abstractNum>
  <w:num w:numId="1">
    <w:abstractNumId w:val="40"/>
  </w:num>
  <w:num w:numId="2">
    <w:abstractNumId w:val="32"/>
  </w:num>
  <w:num w:numId="3">
    <w:abstractNumId w:val="44"/>
  </w:num>
  <w:num w:numId="4">
    <w:abstractNumId w:val="41"/>
  </w:num>
  <w:num w:numId="5">
    <w:abstractNumId w:val="31"/>
  </w:num>
  <w:num w:numId="6">
    <w:abstractNumId w:val="22"/>
  </w:num>
  <w:num w:numId="7">
    <w:abstractNumId w:val="5"/>
  </w:num>
  <w:num w:numId="8">
    <w:abstractNumId w:val="6"/>
  </w:num>
  <w:num w:numId="9">
    <w:abstractNumId w:val="12"/>
  </w:num>
  <w:num w:numId="10">
    <w:abstractNumId w:val="25"/>
  </w:num>
  <w:num w:numId="11">
    <w:abstractNumId w:val="35"/>
  </w:num>
  <w:num w:numId="12">
    <w:abstractNumId w:val="43"/>
  </w:num>
  <w:num w:numId="13">
    <w:abstractNumId w:val="30"/>
  </w:num>
  <w:num w:numId="14">
    <w:abstractNumId w:val="47"/>
  </w:num>
  <w:num w:numId="15">
    <w:abstractNumId w:val="29"/>
  </w:num>
  <w:num w:numId="16">
    <w:abstractNumId w:val="23"/>
  </w:num>
  <w:num w:numId="17">
    <w:abstractNumId w:val="15"/>
  </w:num>
  <w:num w:numId="18">
    <w:abstractNumId w:val="38"/>
  </w:num>
  <w:num w:numId="19">
    <w:abstractNumId w:val="34"/>
  </w:num>
  <w:num w:numId="20">
    <w:abstractNumId w:val="13"/>
  </w:num>
  <w:num w:numId="21">
    <w:abstractNumId w:val="2"/>
  </w:num>
  <w:num w:numId="22">
    <w:abstractNumId w:val="36"/>
  </w:num>
  <w:num w:numId="23">
    <w:abstractNumId w:val="14"/>
  </w:num>
  <w:num w:numId="24">
    <w:abstractNumId w:val="21"/>
  </w:num>
  <w:num w:numId="25">
    <w:abstractNumId w:val="18"/>
  </w:num>
  <w:num w:numId="26">
    <w:abstractNumId w:val="48"/>
  </w:num>
  <w:num w:numId="27">
    <w:abstractNumId w:val="26"/>
  </w:num>
  <w:num w:numId="28">
    <w:abstractNumId w:val="39"/>
  </w:num>
  <w:num w:numId="29">
    <w:abstractNumId w:val="19"/>
  </w:num>
  <w:num w:numId="30">
    <w:abstractNumId w:val="7"/>
  </w:num>
  <w:num w:numId="31">
    <w:abstractNumId w:val="45"/>
  </w:num>
  <w:num w:numId="32">
    <w:abstractNumId w:val="1"/>
  </w:num>
  <w:num w:numId="33">
    <w:abstractNumId w:val="4"/>
  </w:num>
  <w:num w:numId="34">
    <w:abstractNumId w:val="33"/>
  </w:num>
  <w:num w:numId="35">
    <w:abstractNumId w:val="17"/>
  </w:num>
  <w:num w:numId="36">
    <w:abstractNumId w:val="16"/>
  </w:num>
  <w:num w:numId="37">
    <w:abstractNumId w:val="24"/>
  </w:num>
  <w:num w:numId="38">
    <w:abstractNumId w:val="42"/>
  </w:num>
  <w:num w:numId="39">
    <w:abstractNumId w:val="9"/>
  </w:num>
  <w:num w:numId="40">
    <w:abstractNumId w:val="37"/>
  </w:num>
  <w:num w:numId="41">
    <w:abstractNumId w:val="27"/>
  </w:num>
  <w:num w:numId="42">
    <w:abstractNumId w:val="28"/>
  </w:num>
  <w:num w:numId="43">
    <w:abstractNumId w:val="3"/>
  </w:num>
  <w:num w:numId="44">
    <w:abstractNumId w:val="11"/>
  </w:num>
  <w:num w:numId="45">
    <w:abstractNumId w:val="46"/>
  </w:num>
  <w:num w:numId="46">
    <w:abstractNumId w:val="10"/>
  </w:num>
  <w:num w:numId="47">
    <w:abstractNumId w:val="0"/>
  </w:num>
  <w:num w:numId="48">
    <w:abstractNumId w:val="20"/>
  </w:num>
  <w:num w:numId="49">
    <w:abstractNumId w:val="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23A4"/>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F23A4"/>
    <w:pPr>
      <w:spacing w:after="120"/>
    </w:pPr>
  </w:style>
  <w:style w:type="character" w:customStyle="1" w:styleId="af6">
    <w:name w:val="正文文本 字符"/>
    <w:basedOn w:val="a0"/>
    <w:link w:val="af5"/>
    <w:uiPriority w:val="99"/>
    <w:rsid w:val="005F23A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ED05C-59F5-4731-9475-8F1B09696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812</Words>
  <Characters>4633</Characters>
  <Application>Microsoft Office Word</Application>
  <DocSecurity>0</DocSecurity>
  <Lines>38</Lines>
  <Paragraphs>10</Paragraphs>
  <ScaleCrop>false</ScaleCrop>
  <Company/>
  <LinksUpToDate>false</LinksUpToDate>
  <CharactersWithSpaces>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2026-06-01T17:19:00Z</dcterms:created>
  <dcterms:modified xsi:type="dcterms:W3CDTF">2026-06-01T17:19:00Z</dcterms:modified>
</cp:coreProperties>
</file>