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CC5DEF8" w:rsidR="0049405C" w:rsidRPr="00C24D79" w:rsidRDefault="00F45523" w:rsidP="00F4552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45523">
              <w:rPr>
                <w:rFonts w:ascii="等线" w:eastAsia="等线" w:hAnsi="Times New Roman"/>
                <w:b/>
                <w:color w:val="000000"/>
                <w:sz w:val="48"/>
              </w:rPr>
              <w:t>ALICE PING</w:t>
            </w:r>
            <w:bookmarkEnd w:id="0"/>
          </w:p>
          <w:p w14:paraId="706EB16B" w14:textId="0E07B64D" w:rsidR="0049405C" w:rsidRPr="00C24D79" w:rsidRDefault="00F45523" w:rsidP="00F4552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4552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4552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4552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8E95228" w:rsidR="0049405C" w:rsidRPr="00C24D79" w:rsidRDefault="00F45523" w:rsidP="00F4552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45523">
              <w:rPr>
                <w:rFonts w:ascii="等线" w:eastAsia="等线" w:hAnsi="Times New Roman"/>
                <w:color w:val="000000"/>
              </w:rPr>
              <w:t xml:space="preserve">+86 21 2208 1154 </w:t>
            </w:r>
            <w:bookmarkEnd w:id="3"/>
          </w:p>
          <w:p w14:paraId="4F910ACA" w14:textId="0A01AC7D" w:rsidR="0049405C" w:rsidRPr="00C24D79" w:rsidRDefault="00F45523" w:rsidP="00F4552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45523">
              <w:rPr>
                <w:rFonts w:ascii="等线" w:eastAsia="等线" w:hAnsi="Times New Roman"/>
                <w:color w:val="000000"/>
              </w:rPr>
              <w:t>alice.ping@fangdalaw.com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9AEAD4" w:rsidR="0049405C" w:rsidRPr="00C24D79" w:rsidRDefault="00F4552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62FAA12" wp14:editId="70316A8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D42F6B9" w:rsidR="009465FB" w:rsidRPr="00C24D79" w:rsidRDefault="00F4552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45523">
              <w:rPr>
                <w:rFonts w:ascii="等线" w:eastAsia="等线" w:hAnsi="Times New Roman"/>
                <w:color w:val="000000"/>
                <w:szCs w:val="21"/>
              </w:rPr>
              <w:t>ALICE PING SPECIALIZES IN PRIVATE EQUITY AND VENTURE CAPITAL INVESTMENT, CROSS-BORDER RESTRUCTURING,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1DF6A7" w14:textId="77777777" w:rsidR="00F4552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70FE2B2" w14:textId="77777777" w:rsidR="00F45523" w:rsidRDefault="00F45523" w:rsidP="00F4552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45523">
        <w:rPr>
          <w:rFonts w:ascii="等线" w:eastAsia="等线" w:hAnsi="等线"/>
          <w:b/>
          <w:sz w:val="24"/>
        </w:rPr>
        <w:t>REPRESENTATIVE MATTERS AND CASES</w:t>
      </w:r>
    </w:p>
    <w:p w14:paraId="340F4775" w14:textId="77777777" w:rsidR="00F45523" w:rsidRDefault="00F45523" w:rsidP="00F4552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82C6168" w14:textId="77777777" w:rsidR="00F45523" w:rsidRDefault="00F45523" w:rsidP="00F4552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GGV Capital in its equity investments in enterprises such as MSENERGY, MegaRobo, CurrentCAD, Lanhu, Cloudbox, Today Camera, BUD APP and Blacklake and in its cross-border restructuring of target companies</w:t>
      </w:r>
    </w:p>
    <w:p w14:paraId="755B8330" w14:textId="77777777" w:rsidR="00F45523" w:rsidRDefault="00F45523" w:rsidP="00F4552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Lilly Asia Ventures in its equity investment in a new drug R&amp;D enterprise</w:t>
      </w:r>
    </w:p>
    <w:p w14:paraId="4FB81F76" w14:textId="77777777" w:rsidR="00F45523" w:rsidRDefault="00F45523" w:rsidP="00F4552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Amphastar Pharmaceuticals in its CMO and CRO matters</w:t>
      </w:r>
    </w:p>
    <w:p w14:paraId="798456EB" w14:textId="77777777" w:rsidR="00F45523" w:rsidRDefault="00F45523" w:rsidP="00F4552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a Japanese pharmaceutical R&amp;D company in its drug licensing matter</w:t>
      </w:r>
    </w:p>
    <w:p w14:paraId="3936FF24" w14:textId="77777777" w:rsidR="00F45523" w:rsidRDefault="00F45523" w:rsidP="00F4552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CDB Investment Fund in its equity investment in an AR product manufacturing and service company</w:t>
      </w:r>
    </w:p>
    <w:p w14:paraId="0BB241DE" w14:textId="77777777" w:rsidR="00F45523" w:rsidRDefault="00F45523" w:rsidP="00F4552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Yunfeng Capital in its equity investment in Xingyun Group, Nreal and two enterprises in consumer-goods industry</w:t>
      </w:r>
    </w:p>
    <w:p w14:paraId="33ED7F0A" w14:textId="77777777" w:rsidR="00F45523" w:rsidRDefault="00F45523" w:rsidP="00F4552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Ant Financial in its equity investment in Hellobike and in its cross-border restructuring of Hellobike</w:t>
      </w:r>
    </w:p>
    <w:p w14:paraId="186E5B14" w14:textId="77777777" w:rsidR="00F45523" w:rsidRDefault="00F45523" w:rsidP="00F4552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18048677" w14:textId="77777777" w:rsidR="00F45523" w:rsidRDefault="00F45523" w:rsidP="00F4552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Ant Financial in its equity investment in E-INV, a subsidiary of an A-share listed company</w:t>
      </w:r>
    </w:p>
    <w:p w14:paraId="64AB9C0F" w14:textId="77777777" w:rsidR="00F45523" w:rsidRDefault="00F45523" w:rsidP="00F4552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Alibaba in its investment in Carzone Auto Parts and in its cross-border restructuring of Carzone</w:t>
      </w:r>
    </w:p>
    <w:p w14:paraId="333A7271" w14:textId="77777777" w:rsidR="00F45523" w:rsidRDefault="00F45523" w:rsidP="00F4552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Sinopharm Capital in its equity investment in Virogin Biotech</w:t>
      </w:r>
    </w:p>
    <w:p w14:paraId="63F3BBE0" w14:textId="77777777" w:rsidR="00F45523" w:rsidRDefault="00F45523" w:rsidP="00F4552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Sinopharm Capital in its equity investment in Creative Biosciences</w:t>
      </w:r>
    </w:p>
    <w:p w14:paraId="198F35C9" w14:textId="77777777" w:rsidR="00F45523" w:rsidRDefault="00F45523" w:rsidP="00F4552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JAFCO in its equity investment in Palfish</w:t>
      </w:r>
    </w:p>
    <w:p w14:paraId="12008F12" w14:textId="77777777" w:rsidR="00F45523" w:rsidRDefault="00F45523" w:rsidP="00F4552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AIF Capital in its equity investments in Aosheng Tech and in its cross-border restructuring of Aosheng</w:t>
      </w:r>
    </w:p>
    <w:p w14:paraId="1118B007" w14:textId="77777777" w:rsidR="00F45523" w:rsidRDefault="00F45523" w:rsidP="00F4552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ClickPaas in its equity financing and its acquisition of Bplead</w:t>
      </w:r>
    </w:p>
    <w:p w14:paraId="4E88A016" w14:textId="77777777" w:rsidR="00F45523" w:rsidRDefault="00F45523" w:rsidP="00F4552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MitrAssist in its equity financing and post-closing matters</w:t>
      </w:r>
    </w:p>
    <w:p w14:paraId="199A5F81" w14:textId="77777777" w:rsidR="00F45523" w:rsidRDefault="00F45523" w:rsidP="00F4552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Panda ABC in its equity financing</w:t>
      </w:r>
    </w:p>
    <w:p w14:paraId="7E8805AF" w14:textId="77777777" w:rsidR="00F45523" w:rsidRDefault="00F45523" w:rsidP="00F4552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Laifu Harmonic Machinery in its equity financings</w:t>
      </w:r>
    </w:p>
    <w:p w14:paraId="13AF6B3E" w14:textId="77777777" w:rsidR="00F45523" w:rsidRDefault="00F45523" w:rsidP="00F4552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an enterprise in fashion industry in its red-chip restructuring</w:t>
      </w:r>
    </w:p>
    <w:p w14:paraId="7C0FA2F1" w14:textId="77777777" w:rsidR="00F45523" w:rsidRDefault="00F45523" w:rsidP="00F4552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Sodexo group in its acquisition of two catering service enterprises in China and a medical equipment management service enterprise in China</w:t>
      </w:r>
    </w:p>
    <w:p w14:paraId="25A93DB4" w14:textId="77777777" w:rsidR="00F45523" w:rsidRDefault="00F45523" w:rsidP="00F4552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Sodexo group in its strategic investment in Meican</w:t>
      </w:r>
    </w:p>
    <w:p w14:paraId="0A9AFCB2" w14:textId="77777777" w:rsidR="00F45523" w:rsidRDefault="00F45523" w:rsidP="00F4552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City Development Limited in its acquisition of Chongqing Sincere</w:t>
      </w:r>
    </w:p>
    <w:p w14:paraId="1ECE13BD" w14:textId="77777777" w:rsidR="00F45523" w:rsidRDefault="00F45523" w:rsidP="00F4552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Represented Bunzl Plc in its acquisition of a Chinese enterprise distributing personal protection equipment</w:t>
      </w:r>
    </w:p>
    <w:p w14:paraId="264AFBDA" w14:textId="77777777" w:rsidR="00F45523" w:rsidRDefault="00F45523" w:rsidP="00F4552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45523">
        <w:rPr>
          <w:rFonts w:ascii="等线" w:eastAsia="等线" w:hAnsi="等线"/>
          <w:b/>
          <w:sz w:val="24"/>
        </w:rPr>
        <w:t>Education</w:t>
      </w:r>
    </w:p>
    <w:p w14:paraId="10A99F47" w14:textId="77777777" w:rsidR="00F45523" w:rsidRDefault="00F45523" w:rsidP="00F4552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East China University of Political Science and Law, LL.M.</w:t>
      </w:r>
    </w:p>
    <w:p w14:paraId="24D72D44" w14:textId="77777777" w:rsidR="00F45523" w:rsidRDefault="00F45523" w:rsidP="00F45523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0F07389" w14:textId="77777777" w:rsidR="00F45523" w:rsidRDefault="00F45523" w:rsidP="00F4552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45523">
        <w:rPr>
          <w:rFonts w:ascii="等线" w:eastAsia="等线" w:hAnsi="等线"/>
          <w:b/>
          <w:sz w:val="24"/>
        </w:rPr>
        <w:t>Professional Qualification</w:t>
      </w:r>
    </w:p>
    <w:p w14:paraId="0A46E600" w14:textId="77777777" w:rsidR="00F45523" w:rsidRDefault="00F45523" w:rsidP="00F45523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Admitted to practice in the PRC</w:t>
      </w:r>
    </w:p>
    <w:p w14:paraId="50374CFA" w14:textId="77777777" w:rsidR="00F45523" w:rsidRDefault="00F45523" w:rsidP="00F45523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Admitted to practice in the State of California</w:t>
      </w:r>
    </w:p>
    <w:p w14:paraId="52A42BF9" w14:textId="77777777" w:rsidR="00F45523" w:rsidRDefault="00F45523" w:rsidP="00F4552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45523">
        <w:rPr>
          <w:rFonts w:ascii="等线" w:eastAsia="等线" w:hAnsi="等线"/>
          <w:b/>
          <w:sz w:val="24"/>
        </w:rPr>
        <w:t>Professional Background</w:t>
      </w:r>
    </w:p>
    <w:p w14:paraId="5567FC3C" w14:textId="7F37CCE4" w:rsidR="00686369" w:rsidRPr="00F45523" w:rsidRDefault="00F45523" w:rsidP="00F45523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5523">
        <w:rPr>
          <w:rFonts w:ascii="等线" w:eastAsia="等线" w:hAnsi="Times New Roman"/>
          <w:color w:val="000000"/>
        </w:rPr>
        <w:t>Alice Ping joined Fangda Partners in 2015.</w:t>
      </w:r>
    </w:p>
    <w:sectPr w:rsidR="00686369" w:rsidRPr="00F4552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24807"/>
    <w:multiLevelType w:val="singleLevel"/>
    <w:tmpl w:val="C4185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201A28"/>
    <w:multiLevelType w:val="singleLevel"/>
    <w:tmpl w:val="5DBA3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BC56B3"/>
    <w:multiLevelType w:val="singleLevel"/>
    <w:tmpl w:val="2F02B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8243CE"/>
    <w:multiLevelType w:val="singleLevel"/>
    <w:tmpl w:val="527CD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200521"/>
    <w:multiLevelType w:val="singleLevel"/>
    <w:tmpl w:val="9ACE4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264FB6"/>
    <w:multiLevelType w:val="singleLevel"/>
    <w:tmpl w:val="90743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160E68"/>
    <w:multiLevelType w:val="singleLevel"/>
    <w:tmpl w:val="DD1E5B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9A2B9C"/>
    <w:multiLevelType w:val="singleLevel"/>
    <w:tmpl w:val="43322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0D4DBD"/>
    <w:multiLevelType w:val="singleLevel"/>
    <w:tmpl w:val="A4E09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CB5D7D"/>
    <w:multiLevelType w:val="singleLevel"/>
    <w:tmpl w:val="0448A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A433BF2"/>
    <w:multiLevelType w:val="singleLevel"/>
    <w:tmpl w:val="A5C05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04E1561"/>
    <w:multiLevelType w:val="singleLevel"/>
    <w:tmpl w:val="D45ED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25B45DA"/>
    <w:multiLevelType w:val="singleLevel"/>
    <w:tmpl w:val="A6909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542055B"/>
    <w:multiLevelType w:val="singleLevel"/>
    <w:tmpl w:val="7EBEE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74F32E8"/>
    <w:multiLevelType w:val="singleLevel"/>
    <w:tmpl w:val="DD5E1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D926913"/>
    <w:multiLevelType w:val="singleLevel"/>
    <w:tmpl w:val="C736E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DA709D5"/>
    <w:multiLevelType w:val="singleLevel"/>
    <w:tmpl w:val="275E90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2302A26"/>
    <w:multiLevelType w:val="singleLevel"/>
    <w:tmpl w:val="320C7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7F15ECA"/>
    <w:multiLevelType w:val="singleLevel"/>
    <w:tmpl w:val="A9967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4E3510E1"/>
    <w:multiLevelType w:val="singleLevel"/>
    <w:tmpl w:val="57720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5E44DBC"/>
    <w:multiLevelType w:val="singleLevel"/>
    <w:tmpl w:val="EB0CE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EE40B8A"/>
    <w:multiLevelType w:val="singleLevel"/>
    <w:tmpl w:val="2E0A7B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F0F0A6E"/>
    <w:multiLevelType w:val="singleLevel"/>
    <w:tmpl w:val="48EA9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0174E9"/>
    <w:multiLevelType w:val="singleLevel"/>
    <w:tmpl w:val="3BB4C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9B7403"/>
    <w:multiLevelType w:val="singleLevel"/>
    <w:tmpl w:val="35768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3710BB"/>
    <w:multiLevelType w:val="singleLevel"/>
    <w:tmpl w:val="D6AAB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7956AF0"/>
    <w:multiLevelType w:val="singleLevel"/>
    <w:tmpl w:val="D9FE6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611269"/>
    <w:multiLevelType w:val="singleLevel"/>
    <w:tmpl w:val="BB24E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F7F7911"/>
    <w:multiLevelType w:val="singleLevel"/>
    <w:tmpl w:val="35768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0"/>
  </w:num>
  <w:num w:numId="3">
    <w:abstractNumId w:val="7"/>
  </w:num>
  <w:num w:numId="4">
    <w:abstractNumId w:val="25"/>
  </w:num>
  <w:num w:numId="5">
    <w:abstractNumId w:val="0"/>
  </w:num>
  <w:num w:numId="6">
    <w:abstractNumId w:val="24"/>
  </w:num>
  <w:num w:numId="7">
    <w:abstractNumId w:val="27"/>
  </w:num>
  <w:num w:numId="8">
    <w:abstractNumId w:val="28"/>
  </w:num>
  <w:num w:numId="9">
    <w:abstractNumId w:val="16"/>
  </w:num>
  <w:num w:numId="10">
    <w:abstractNumId w:val="6"/>
  </w:num>
  <w:num w:numId="11">
    <w:abstractNumId w:val="19"/>
  </w:num>
  <w:num w:numId="12">
    <w:abstractNumId w:val="21"/>
  </w:num>
  <w:num w:numId="13">
    <w:abstractNumId w:val="12"/>
  </w:num>
  <w:num w:numId="14">
    <w:abstractNumId w:val="4"/>
  </w:num>
  <w:num w:numId="15">
    <w:abstractNumId w:val="10"/>
  </w:num>
  <w:num w:numId="16">
    <w:abstractNumId w:val="1"/>
  </w:num>
  <w:num w:numId="17">
    <w:abstractNumId w:val="22"/>
  </w:num>
  <w:num w:numId="18">
    <w:abstractNumId w:val="14"/>
  </w:num>
  <w:num w:numId="19">
    <w:abstractNumId w:val="13"/>
  </w:num>
  <w:num w:numId="20">
    <w:abstractNumId w:val="3"/>
  </w:num>
  <w:num w:numId="21">
    <w:abstractNumId w:val="5"/>
  </w:num>
  <w:num w:numId="22">
    <w:abstractNumId w:val="9"/>
  </w:num>
  <w:num w:numId="23">
    <w:abstractNumId w:val="18"/>
  </w:num>
  <w:num w:numId="24">
    <w:abstractNumId w:val="15"/>
  </w:num>
  <w:num w:numId="25">
    <w:abstractNumId w:val="23"/>
  </w:num>
  <w:num w:numId="26">
    <w:abstractNumId w:val="11"/>
  </w:num>
  <w:num w:numId="27">
    <w:abstractNumId w:val="29"/>
  </w:num>
  <w:num w:numId="28">
    <w:abstractNumId w:val="2"/>
  </w:num>
  <w:num w:numId="29">
    <w:abstractNumId w:val="8"/>
  </w:num>
  <w:num w:numId="30">
    <w:abstractNumId w:val="26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45523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4552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4552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FAF873-777B-465B-ADDA-73C3B1C1E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2026-07-16T16:01:00Z</dcterms:created>
  <dcterms:modified xsi:type="dcterms:W3CDTF">2026-07-16T16:01:00Z</dcterms:modified>
</cp:coreProperties>
</file>