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AA29816" w:rsidR="0049405C" w:rsidRPr="00C24D79" w:rsidRDefault="001A3F23" w:rsidP="001A3F2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A3F23">
              <w:rPr>
                <w:rFonts w:ascii="等线" w:eastAsia="等线" w:hAnsi="Times New Roman"/>
                <w:b/>
                <w:color w:val="000000"/>
                <w:sz w:val="48"/>
              </w:rPr>
              <w:t>YANPING LI</w:t>
            </w:r>
            <w:bookmarkEnd w:id="0"/>
          </w:p>
          <w:p w14:paraId="706EB16B" w14:textId="6AB1463A" w:rsidR="0049405C" w:rsidRPr="00C24D79" w:rsidRDefault="001A3F23" w:rsidP="001A3F2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A3F2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A3F2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A3F23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2DE00ECA" w:rsidR="0049405C" w:rsidRPr="00C24D79" w:rsidRDefault="001A3F23" w:rsidP="001A3F2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A3F23">
              <w:rPr>
                <w:rFonts w:ascii="等线" w:eastAsia="等线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07A42E8F" w:rsidR="0049405C" w:rsidRPr="00C24D79" w:rsidRDefault="001A3F23" w:rsidP="001A3F2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A3F23">
              <w:rPr>
                <w:rFonts w:ascii="等线" w:eastAsia="等线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C82D165" w:rsidR="0049405C" w:rsidRPr="00C24D79" w:rsidRDefault="001A3F2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1A7D41B" wp14:editId="788F8C8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D199B5D" w:rsidR="009465FB" w:rsidRPr="00C24D79" w:rsidRDefault="001A3F2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A3F23">
              <w:rPr>
                <w:rFonts w:ascii="等线" w:eastAsia="等线" w:hAnsi="Times New Roman"/>
                <w:color w:val="000000"/>
                <w:szCs w:val="21"/>
              </w:rPr>
              <w:t>MS. LI</w:t>
            </w:r>
            <w:r w:rsidRPr="001A3F23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1A3F23">
              <w:rPr>
                <w:rFonts w:ascii="等线" w:eastAsia="等线" w:hAnsi="Times New Roman"/>
                <w:color w:val="000000"/>
                <w:szCs w:val="21"/>
              </w:rPr>
              <w:t xml:space="preserve">S PRACTICE FOCUSES ON PRIVATE EQUITY INVESTMENT AND FINANCING, M&amp;A, RESTRUCTURING, INVESTMENT FUNDS AND GERNAL CORPORATE. SHE PARTICIPATES IN NUMEROUS DOMESTIC AND CROSS-BORDER EQUITY TRANSACTIONS AND REPRESENTSAND MAINTAINS LONG-TERM AND DEEP COOPERATION WITH MANY INDUSTRIAL COMPANIES, INVESTMENT INSTITUTIONS, MULTINATIONAL CORPORATIONS AND LISTED COMPANIES.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C2F5B4D" w14:textId="77777777" w:rsidR="001A3F2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EFC16FA" w14:textId="77777777" w:rsidR="001A3F23" w:rsidRDefault="001A3F23" w:rsidP="001A3F2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A3F23">
        <w:rPr>
          <w:rFonts w:ascii="等线" w:eastAsia="等线" w:hAnsi="等线"/>
          <w:b/>
          <w:sz w:val="24"/>
        </w:rPr>
        <w:t>REPRESENTATIVE MATTERS AND CASES</w:t>
      </w:r>
    </w:p>
    <w:p w14:paraId="46954320" w14:textId="77777777" w:rsidR="001A3F23" w:rsidRDefault="001A3F23" w:rsidP="001A3F23">
      <w:pPr>
        <w:pStyle w:val="af5"/>
        <w:spacing w:before="12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Private Equity Financing &amp; Investment</w:t>
      </w:r>
    </w:p>
    <w:p w14:paraId="571DBA88" w14:textId="77777777" w:rsidR="001A3F23" w:rsidRDefault="001A3F23" w:rsidP="001A3F2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SeeYA Technology (688781.SH) in its several rounds of equity financing, its equity restructuring and reform and strategic investments.</w:t>
      </w:r>
    </w:p>
    <w:p w14:paraId="3ADB8B7B" w14:textId="77777777" w:rsidR="001A3F23" w:rsidRDefault="001A3F23" w:rsidP="001A3F2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ASMPT Limited (0522.HK) in its restructuring of semiconductor solution business in China and incorporation of ASMPT SEMI Equipment, a leading semiconductor equipment supplier.</w:t>
      </w:r>
    </w:p>
    <w:p w14:paraId="314784B4" w14:textId="77777777" w:rsidR="001A3F23" w:rsidRDefault="001A3F23" w:rsidP="001A3F2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ASMPT Limited (0522.HK) in its establishment with Wise Road Capital of a joint venture Semiconductor Wet Advanced Technology.</w:t>
      </w:r>
    </w:p>
    <w:p w14:paraId="15B03089" w14:textId="77777777" w:rsidR="001A3F23" w:rsidRDefault="001A3F23" w:rsidP="001A3F2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Alibaba Cloud in its investment in X Square Robot.</w:t>
      </w:r>
    </w:p>
    <w:p w14:paraId="0F9BBA07" w14:textId="77777777" w:rsidR="001A3F23" w:rsidRDefault="001A3F23" w:rsidP="001A3F2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CICC Capital in its investment in Cardiolink Science.</w:t>
      </w:r>
    </w:p>
    <w:p w14:paraId="46F40F32" w14:textId="77777777" w:rsidR="001A3F23" w:rsidRDefault="001A3F23" w:rsidP="001A3F2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CICC Capital in its investment in Convenient Power.</w:t>
      </w:r>
    </w:p>
    <w:p w14:paraId="367389C6" w14:textId="77777777" w:rsidR="001A3F23" w:rsidRDefault="001A3F23" w:rsidP="001A3F2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China Merchants Capital in its investment in AnHeart Therapeutics, and the subsequent red-chip restructuring of AnHeart Therapeutics.</w:t>
      </w:r>
    </w:p>
    <w:p w14:paraId="78989940" w14:textId="77777777" w:rsidR="001A3F23" w:rsidRDefault="001A3F23" w:rsidP="001A3F2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Overseas Chinese Town Capital in its strategic investment in the equity reform program of China SDIC Gaoxin Industrial Investment.</w:t>
      </w:r>
    </w:p>
    <w:p w14:paraId="30DED9AF" w14:textId="77777777" w:rsidR="001A3F23" w:rsidRDefault="001A3F23" w:rsidP="001A3F2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YF Capital in its investment in Whale House Tech.</w:t>
      </w:r>
    </w:p>
    <w:p w14:paraId="19FEB85B" w14:textId="77777777" w:rsidR="001A3F23" w:rsidRDefault="001A3F23" w:rsidP="001A3F2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Mindray (300760.SZ) in its pre-IPO financing from over 20 investors.</w:t>
      </w:r>
    </w:p>
    <w:p w14:paraId="15735F9D" w14:textId="77777777" w:rsidR="001A3F23" w:rsidRDefault="001A3F23" w:rsidP="001A3F2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Migrasome Therapeutics in its Pre-A round financing.</w:t>
      </w:r>
    </w:p>
    <w:p w14:paraId="6D40E98F" w14:textId="77777777" w:rsidR="001A3F23" w:rsidRDefault="001A3F23" w:rsidP="001A3F2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SeeYA Technology (688781.SH) in its investment in XReal and RayPai.</w:t>
      </w:r>
    </w:p>
    <w:p w14:paraId="7A8E24A9" w14:textId="77777777" w:rsidR="001A3F23" w:rsidRDefault="001A3F23" w:rsidP="001A3F2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SeeYA Technology (688781.SH), Mindray (300760.SZ), iRay Technology (688301.SH) and NanoVision respectively in their ESOP matters.</w:t>
      </w:r>
    </w:p>
    <w:p w14:paraId="232736F6" w14:textId="77777777" w:rsidR="001A3F23" w:rsidRDefault="001A3F23" w:rsidP="001A3F2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multiple multinational corporations in their investments and joint venture matters within the PRC, including MKS Instruments (NASDAQ: MKSI), Singapore Post Ltd (S08.SI) and DFI Retail (SGX:D01).</w:t>
      </w:r>
    </w:p>
    <w:p w14:paraId="508EC0C2" w14:textId="77777777" w:rsidR="001A3F23" w:rsidRDefault="001A3F23" w:rsidP="001A3F23">
      <w:pPr>
        <w:pStyle w:val="af5"/>
        <w:spacing w:before="12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M&amp;A</w:t>
      </w:r>
    </w:p>
    <w:p w14:paraId="28EF1604" w14:textId="77777777" w:rsidR="001A3F23" w:rsidRDefault="001A3F23" w:rsidP="001A3F2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ASMPT Limited (0522.HK) in its restructuring of global semiconductors materials business and its USD200 million sale of the controlling stake in the business.</w:t>
      </w:r>
    </w:p>
    <w:p w14:paraId="4202DE1E" w14:textId="77777777" w:rsidR="001A3F23" w:rsidRDefault="001A3F23" w:rsidP="001A3F2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ASMPT Limited (0522.HK) in its strategic acquisitions of 100% shares respectively in SKTMAX (a leading provider of manufacturing execution system solutions) and Borey (a provider of SMT solutions).</w:t>
      </w:r>
    </w:p>
    <w:p w14:paraId="4BBF8F79" w14:textId="77777777" w:rsidR="001A3F23" w:rsidRDefault="001A3F23" w:rsidP="001A3F2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China Tourism Group Finance Investment Co., Ltd. in its acquisition of 100% shares respectively in Kai Fu Property Services Co., Ltd and Wilson Service Limited.</w:t>
      </w:r>
    </w:p>
    <w:p w14:paraId="51BE3D62" w14:textId="77777777" w:rsidR="001A3F23" w:rsidRDefault="001A3F23" w:rsidP="001A3F2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 listed company in its proposed acquisition of a leading fintech company.</w:t>
      </w:r>
    </w:p>
    <w:p w14:paraId="713CD645" w14:textId="77777777" w:rsidR="001A3F23" w:rsidRDefault="001A3F23" w:rsidP="001A3F2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iRay Technology (688301.SH) in its strategic acquisitions of majority shares respectively in Haiwei Technology and Hongzhi New Material.</w:t>
      </w:r>
    </w:p>
    <w:p w14:paraId="66AAC037" w14:textId="77777777" w:rsidR="001A3F23" w:rsidRDefault="001A3F23" w:rsidP="001A3F2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Fussen Technology in its acquisition of majority shares in the PRC subsidiary of Cortex, a leading Israeli dental implants company.</w:t>
      </w:r>
    </w:p>
    <w:p w14:paraId="4FD69C31" w14:textId="77777777" w:rsidR="001A3F23" w:rsidRDefault="001A3F23" w:rsidP="001A3F2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Alibaba Pictures (1060.HK) in its RMB830 million acquisition of 100% shares in Yueke Software.</w:t>
      </w:r>
    </w:p>
    <w:p w14:paraId="0BB5145D" w14:textId="77777777" w:rsidR="001A3F23" w:rsidRDefault="001A3F23" w:rsidP="001A3F2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 technology company in its proposed acquisition of the Asia-based TDDI business of Synaptics Incorporated (NASDAQ: SYNA).</w:t>
      </w:r>
    </w:p>
    <w:p w14:paraId="79D32A5B" w14:textId="77777777" w:rsidR="001A3F23" w:rsidRDefault="001A3F23" w:rsidP="001A3F2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a listed company in its proposed acquisition of certain US assets and business of GE HealthCare (NASDAQ: GEHC).</w:t>
      </w:r>
    </w:p>
    <w:p w14:paraId="780B6003" w14:textId="77777777" w:rsidR="001A3F23" w:rsidRDefault="001A3F23" w:rsidP="001A3F23">
      <w:pPr>
        <w:pStyle w:val="af5"/>
        <w:spacing w:before="12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Investment Funds</w:t>
      </w:r>
    </w:p>
    <w:p w14:paraId="0A56A946" w14:textId="77777777" w:rsidR="001A3F23" w:rsidRDefault="001A3F23" w:rsidP="001A3F2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CICC Capital, China Merchants Capital and China Resources Capital respectively in forming several PE investment funds.</w:t>
      </w:r>
    </w:p>
    <w:p w14:paraId="12902F9D" w14:textId="77777777" w:rsidR="001A3F23" w:rsidRDefault="001A3F23" w:rsidP="001A3F23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CICC Capital, China Merchants Capital and Tianyi Capital respectively in their investment (as limited partner) in dozens of PE investment funds.</w:t>
      </w:r>
    </w:p>
    <w:p w14:paraId="1B7C5E3F" w14:textId="77777777" w:rsidR="001A3F23" w:rsidRDefault="001A3F23" w:rsidP="001A3F23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Coller Capital in its acquisition of secondary interests in several PE funds.</w:t>
      </w:r>
    </w:p>
    <w:p w14:paraId="0E76D68A" w14:textId="77777777" w:rsidR="001A3F23" w:rsidRDefault="001A3F23" w:rsidP="001A3F23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China Merchants Capital and Great Wall Asset Management respectively in their proposed 100% acquisition of secondary interests in several PE funds.</w:t>
      </w:r>
    </w:p>
    <w:p w14:paraId="08D52AD3" w14:textId="77777777" w:rsidR="001A3F23" w:rsidRDefault="001A3F23" w:rsidP="001A3F23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Edge Ventures in its fundraising, equity investment, post-investment management and compliance matters.</w:t>
      </w:r>
    </w:p>
    <w:p w14:paraId="6B57B672" w14:textId="77777777" w:rsidR="001A3F23" w:rsidRDefault="001A3F23" w:rsidP="001A3F23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Represented iRay Technology (688301.SH), SeeYA Technology (688781.SH) and Carbon Cloud Technology respectively in their investments in several PE funds.</w:t>
      </w:r>
    </w:p>
    <w:p w14:paraId="71EB9B83" w14:textId="77777777" w:rsidR="001A3F23" w:rsidRDefault="001A3F23" w:rsidP="001A3F2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A3F23">
        <w:rPr>
          <w:rFonts w:ascii="等线" w:eastAsia="等线" w:hAnsi="等线"/>
          <w:b/>
          <w:sz w:val="24"/>
        </w:rPr>
        <w:t>Education</w:t>
      </w:r>
    </w:p>
    <w:p w14:paraId="4822D3ED" w14:textId="77777777" w:rsidR="001A3F23" w:rsidRDefault="001A3F23" w:rsidP="001A3F23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Peking University, School of Law, LL.M.</w:t>
      </w:r>
    </w:p>
    <w:p w14:paraId="4AEBD8D9" w14:textId="77777777" w:rsidR="001A3F23" w:rsidRDefault="001A3F23" w:rsidP="001A3F23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China University of Political Science and Law, LL.B.</w:t>
      </w:r>
    </w:p>
    <w:p w14:paraId="5F092D2C" w14:textId="77777777" w:rsidR="001A3F23" w:rsidRDefault="001A3F23" w:rsidP="001A3F2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A3F23">
        <w:rPr>
          <w:rFonts w:ascii="等线" w:eastAsia="等线" w:hAnsi="等线"/>
          <w:b/>
          <w:sz w:val="24"/>
        </w:rPr>
        <w:t>Professional Qualification</w:t>
      </w:r>
    </w:p>
    <w:p w14:paraId="55F40410" w14:textId="77777777" w:rsidR="001A3F23" w:rsidRDefault="001A3F23" w:rsidP="001A3F23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Admitted to practice in the PRC</w:t>
      </w:r>
    </w:p>
    <w:p w14:paraId="3468031A" w14:textId="77777777" w:rsidR="001A3F23" w:rsidRDefault="001A3F23" w:rsidP="001A3F2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A3F23">
        <w:rPr>
          <w:rFonts w:ascii="等线" w:eastAsia="等线" w:hAnsi="等线"/>
          <w:b/>
          <w:sz w:val="24"/>
        </w:rPr>
        <w:t>Professional Background</w:t>
      </w:r>
    </w:p>
    <w:p w14:paraId="5567FC3C" w14:textId="154BD8AF" w:rsidR="00686369" w:rsidRPr="001A3F23" w:rsidRDefault="001A3F23" w:rsidP="001A3F23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A3F23">
        <w:rPr>
          <w:rFonts w:ascii="等线" w:eastAsia="等线" w:hAnsi="Times New Roman"/>
          <w:color w:val="000000"/>
        </w:rPr>
        <w:t>Ms. Li joined Fangda in 2015.</w:t>
      </w:r>
    </w:p>
    <w:sectPr w:rsidR="00686369" w:rsidRPr="001A3F2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4B4B"/>
    <w:multiLevelType w:val="singleLevel"/>
    <w:tmpl w:val="63CAB4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361DCE"/>
    <w:multiLevelType w:val="singleLevel"/>
    <w:tmpl w:val="33140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3B74E7"/>
    <w:multiLevelType w:val="singleLevel"/>
    <w:tmpl w:val="09DEE9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724ADF"/>
    <w:multiLevelType w:val="singleLevel"/>
    <w:tmpl w:val="78DE7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A42EB5"/>
    <w:multiLevelType w:val="singleLevel"/>
    <w:tmpl w:val="865A9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C1368A"/>
    <w:multiLevelType w:val="singleLevel"/>
    <w:tmpl w:val="27A09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FD48CF"/>
    <w:multiLevelType w:val="singleLevel"/>
    <w:tmpl w:val="1EE6C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066671"/>
    <w:multiLevelType w:val="singleLevel"/>
    <w:tmpl w:val="6DEEA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176354"/>
    <w:multiLevelType w:val="singleLevel"/>
    <w:tmpl w:val="9C5E4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327790"/>
    <w:multiLevelType w:val="singleLevel"/>
    <w:tmpl w:val="621E7F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4F5303"/>
    <w:multiLevelType w:val="singleLevel"/>
    <w:tmpl w:val="017EA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5416D7"/>
    <w:multiLevelType w:val="singleLevel"/>
    <w:tmpl w:val="DFCA0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15B3F0C"/>
    <w:multiLevelType w:val="singleLevel"/>
    <w:tmpl w:val="32762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1A12263"/>
    <w:multiLevelType w:val="singleLevel"/>
    <w:tmpl w:val="5D3C2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0F711F3"/>
    <w:multiLevelType w:val="singleLevel"/>
    <w:tmpl w:val="506E2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82530F"/>
    <w:multiLevelType w:val="singleLevel"/>
    <w:tmpl w:val="F866E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A51FB3"/>
    <w:multiLevelType w:val="singleLevel"/>
    <w:tmpl w:val="F0B01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5EE073E"/>
    <w:multiLevelType w:val="singleLevel"/>
    <w:tmpl w:val="1CD22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DE05C2"/>
    <w:multiLevelType w:val="singleLevel"/>
    <w:tmpl w:val="C5444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0A6A0E"/>
    <w:multiLevelType w:val="singleLevel"/>
    <w:tmpl w:val="B2D05B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F7B6F38"/>
    <w:multiLevelType w:val="singleLevel"/>
    <w:tmpl w:val="56E88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3080E9F"/>
    <w:multiLevelType w:val="singleLevel"/>
    <w:tmpl w:val="33884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3801040"/>
    <w:multiLevelType w:val="singleLevel"/>
    <w:tmpl w:val="2BEEA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F092395"/>
    <w:multiLevelType w:val="singleLevel"/>
    <w:tmpl w:val="A7B0A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0283AB3"/>
    <w:multiLevelType w:val="singleLevel"/>
    <w:tmpl w:val="14008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2F463AD"/>
    <w:multiLevelType w:val="singleLevel"/>
    <w:tmpl w:val="F7FE8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5862209"/>
    <w:multiLevelType w:val="singleLevel"/>
    <w:tmpl w:val="602E2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8F4175B"/>
    <w:multiLevelType w:val="singleLevel"/>
    <w:tmpl w:val="DBD2A4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C892291"/>
    <w:multiLevelType w:val="singleLevel"/>
    <w:tmpl w:val="36048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3C52030"/>
    <w:multiLevelType w:val="singleLevel"/>
    <w:tmpl w:val="33884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51274DE"/>
    <w:multiLevelType w:val="singleLevel"/>
    <w:tmpl w:val="9B5EE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95916FB"/>
    <w:multiLevelType w:val="singleLevel"/>
    <w:tmpl w:val="E1340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B3F773D"/>
    <w:multiLevelType w:val="singleLevel"/>
    <w:tmpl w:val="A3D6E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DAD25ED"/>
    <w:multiLevelType w:val="singleLevel"/>
    <w:tmpl w:val="39F02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11"/>
  </w:num>
  <w:num w:numId="4">
    <w:abstractNumId w:val="2"/>
  </w:num>
  <w:num w:numId="5">
    <w:abstractNumId w:val="1"/>
  </w:num>
  <w:num w:numId="6">
    <w:abstractNumId w:val="21"/>
  </w:num>
  <w:num w:numId="7">
    <w:abstractNumId w:val="34"/>
  </w:num>
  <w:num w:numId="8">
    <w:abstractNumId w:val="17"/>
  </w:num>
  <w:num w:numId="9">
    <w:abstractNumId w:val="19"/>
  </w:num>
  <w:num w:numId="10">
    <w:abstractNumId w:val="26"/>
  </w:num>
  <w:num w:numId="11">
    <w:abstractNumId w:val="32"/>
  </w:num>
  <w:num w:numId="12">
    <w:abstractNumId w:val="6"/>
  </w:num>
  <w:num w:numId="13">
    <w:abstractNumId w:val="30"/>
  </w:num>
  <w:num w:numId="14">
    <w:abstractNumId w:val="3"/>
  </w:num>
  <w:num w:numId="15">
    <w:abstractNumId w:val="35"/>
  </w:num>
  <w:num w:numId="16">
    <w:abstractNumId w:val="14"/>
  </w:num>
  <w:num w:numId="17">
    <w:abstractNumId w:val="13"/>
  </w:num>
  <w:num w:numId="18">
    <w:abstractNumId w:val="27"/>
  </w:num>
  <w:num w:numId="19">
    <w:abstractNumId w:val="24"/>
  </w:num>
  <w:num w:numId="20">
    <w:abstractNumId w:val="16"/>
  </w:num>
  <w:num w:numId="21">
    <w:abstractNumId w:val="28"/>
  </w:num>
  <w:num w:numId="22">
    <w:abstractNumId w:val="20"/>
  </w:num>
  <w:num w:numId="23">
    <w:abstractNumId w:val="10"/>
  </w:num>
  <w:num w:numId="24">
    <w:abstractNumId w:val="18"/>
  </w:num>
  <w:num w:numId="25">
    <w:abstractNumId w:val="7"/>
  </w:num>
  <w:num w:numId="26">
    <w:abstractNumId w:val="9"/>
  </w:num>
  <w:num w:numId="27">
    <w:abstractNumId w:val="5"/>
  </w:num>
  <w:num w:numId="28">
    <w:abstractNumId w:val="29"/>
  </w:num>
  <w:num w:numId="29">
    <w:abstractNumId w:val="4"/>
  </w:num>
  <w:num w:numId="30">
    <w:abstractNumId w:val="22"/>
  </w:num>
  <w:num w:numId="31">
    <w:abstractNumId w:val="0"/>
  </w:num>
  <w:num w:numId="32">
    <w:abstractNumId w:val="25"/>
  </w:num>
  <w:num w:numId="33">
    <w:abstractNumId w:val="33"/>
  </w:num>
  <w:num w:numId="34">
    <w:abstractNumId w:val="8"/>
  </w:num>
  <w:num w:numId="35">
    <w:abstractNumId w:val="23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A3F23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A3F2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A3F2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B7BBF3-AF7E-40DD-892F-9E2374DE0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2026-07-16T15:57:00Z</dcterms:created>
  <dcterms:modified xsi:type="dcterms:W3CDTF">2026-07-16T15:57:00Z</dcterms:modified>
</cp:coreProperties>
</file>