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2F6F18" w:rsidR="0049405C" w:rsidRPr="00C24D79" w:rsidRDefault="00714BEE" w:rsidP="00714BE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14BEE">
              <w:rPr>
                <w:rFonts w:ascii="等线" w:eastAsia="等线" w:hAnsi="Times New Roman"/>
                <w:b/>
                <w:color w:val="000000"/>
                <w:sz w:val="48"/>
              </w:rPr>
              <w:t>SWITA GAN</w:t>
            </w:r>
            <w:bookmarkEnd w:id="0"/>
          </w:p>
          <w:p w14:paraId="706EB16B" w14:textId="0CC5CD34" w:rsidR="0049405C" w:rsidRPr="00C24D79" w:rsidRDefault="00714BEE" w:rsidP="00714BE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14BE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14BE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14BE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B5E036F" w:rsidR="0049405C" w:rsidRPr="00C24D79" w:rsidRDefault="00714BEE" w:rsidP="00714BE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14BEE">
              <w:rPr>
                <w:rFonts w:ascii="等线" w:eastAsia="等线" w:hAnsi="Times New Roman"/>
                <w:color w:val="000000"/>
              </w:rPr>
              <w:t xml:space="preserve">+86 21 6263 5830 </w:t>
            </w:r>
            <w:bookmarkEnd w:id="3"/>
          </w:p>
          <w:p w14:paraId="4F910ACA" w14:textId="00B66E01" w:rsidR="0049405C" w:rsidRPr="00C24D79" w:rsidRDefault="00714BEE" w:rsidP="00714BE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14BEE">
              <w:rPr>
                <w:rFonts w:ascii="等线" w:eastAsia="等线" w:hAnsi="Times New Roman"/>
                <w:color w:val="000000"/>
              </w:rPr>
              <w:t>swita.gan@fangdalaw.com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799276" w:rsidR="0049405C" w:rsidRPr="00C24D79" w:rsidRDefault="00714BE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F49EEB" wp14:editId="5B27C51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1A6C413" w:rsidR="009465FB" w:rsidRPr="00C24D79" w:rsidRDefault="00714BE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14BEE">
              <w:rPr>
                <w:rFonts w:ascii="等线" w:eastAsia="等线" w:hAnsi="Times New Roman"/>
                <w:color w:val="000000"/>
                <w:szCs w:val="21"/>
              </w:rPr>
              <w:t>MS. SWITA GAN SPECIALIZES IN ANTITRUST AND COMPETITION LAW, INCLUDING ANTITRUST ADMINISTRATIVE INVESTIGATIONS, ANTITRUST COMPLIANCE ADVISORY, ANTITRUST LITIGATION AND MERGER CONTROL FILINGS.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B7114D" w14:textId="77777777" w:rsidR="00714BE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79AD3A" w14:textId="77777777" w:rsidR="00714BEE" w:rsidRDefault="00714BEE" w:rsidP="00714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Swita joined Fangda Partners in 2017. Before joining the firm, she worked at another major Chinese firm practicing antitrust and competition law for four years.</w:t>
      </w:r>
    </w:p>
    <w:p w14:paraId="5C30A7EB" w14:textId="77777777" w:rsidR="00714BEE" w:rsidRDefault="00714BEE" w:rsidP="00714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4BEE">
        <w:rPr>
          <w:rFonts w:ascii="等线" w:eastAsia="等线" w:hAnsi="等线"/>
          <w:b/>
          <w:sz w:val="24"/>
        </w:rPr>
        <w:t>REPRESENTATIVE MATTERS AND CASES</w:t>
      </w:r>
    </w:p>
    <w:p w14:paraId="0298D8C9" w14:textId="77777777" w:rsidR="00714BEE" w:rsidRDefault="00714BEE" w:rsidP="00714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Swita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>s recent antitrust compliance advisory work includes advising</w:t>
      </w:r>
    </w:p>
    <w:p w14:paraId="6DD8C90C" w14:textId="77777777" w:rsidR="00714BEE" w:rsidRDefault="00714BEE" w:rsidP="00714BE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world-leading auto company on its internal audit of its antitrust compliance</w:t>
      </w:r>
    </w:p>
    <w:p w14:paraId="6F103448" w14:textId="77777777" w:rsidR="00714BEE" w:rsidRDefault="00714BEE" w:rsidP="00714BE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state-owned chemical company on the establishment of its antitrust compliance system and on the review of its antitrust compliance status</w:t>
      </w:r>
    </w:p>
    <w:p w14:paraId="19A69136" w14:textId="77777777" w:rsidR="00714BEE" w:rsidRDefault="00714BEE" w:rsidP="00714BE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world-leading digital products company on its self-review of its antitrust compliance system</w:t>
      </w:r>
    </w:p>
    <w:p w14:paraId="524E771B" w14:textId="77777777" w:rsidR="00714BEE" w:rsidRDefault="00714BEE" w:rsidP="00714BE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well-known US high-tech company in its self-review of its business practices in China from an antitrust compliance perspective</w:t>
      </w:r>
    </w:p>
    <w:p w14:paraId="6EBA12ED" w14:textId="77777777" w:rsidR="00714BEE" w:rsidRDefault="00714BEE" w:rsidP="00714BE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well-known beverage company on its exclusivity arrangements with its business partners</w:t>
      </w:r>
    </w:p>
    <w:p w14:paraId="7DD5D905" w14:textId="77777777" w:rsidR="00714BEE" w:rsidRDefault="00714BEE" w:rsidP="00714BE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global chemical company on antitrust compliance in China</w:t>
      </w:r>
    </w:p>
    <w:p w14:paraId="2A174F0C" w14:textId="77777777" w:rsidR="00714BEE" w:rsidRDefault="00714BEE" w:rsidP="00714BE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multinational energy company on pricing synergies among its subsidiaries and joint ventures</w:t>
      </w:r>
    </w:p>
    <w:p w14:paraId="54447265" w14:textId="77777777" w:rsidR="00714BEE" w:rsidRDefault="00714BEE" w:rsidP="00714BE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world-leading electric power company on sensitive information sharing</w:t>
      </w:r>
    </w:p>
    <w:p w14:paraId="0DA79078" w14:textId="77777777" w:rsidR="00714BEE" w:rsidRDefault="00714BEE" w:rsidP="00714BE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leading global aseptic packaging company on adjusting their rebate scheme to reduce the risk of competition law liability</w:t>
      </w:r>
    </w:p>
    <w:p w14:paraId="5BF6F3EB" w14:textId="77777777" w:rsidR="00714BEE" w:rsidRDefault="00714BEE" w:rsidP="00714BE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number of multinational pharmaceutical companies on competition concerns relating to distribution and commercialization arrangements under new medical reform regulations</w:t>
      </w:r>
    </w:p>
    <w:p w14:paraId="6D8E6F6F" w14:textId="77777777" w:rsidR="00714BEE" w:rsidRDefault="00714BEE" w:rsidP="00714BE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number of Fortune 500 companies on their antitrust audits, compliance trainings and other behavioral conduct issues</w:t>
      </w:r>
    </w:p>
    <w:p w14:paraId="40C46814" w14:textId="77777777" w:rsidR="00714BEE" w:rsidRDefault="00714BEE" w:rsidP="00714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Swita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>s recent antitrust investigation work includes advising</w:t>
      </w:r>
    </w:p>
    <w:p w14:paraId="008CB357" w14:textId="77777777" w:rsidR="00714BEE" w:rsidRDefault="00714BEE" w:rsidP="00714BE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Alibaba Group on responding to an SAMR antitrust investigation into abuse of dominance</w:t>
      </w:r>
    </w:p>
    <w:p w14:paraId="5FCCEE52" w14:textId="77777777" w:rsidR="00714BEE" w:rsidRDefault="00714BEE" w:rsidP="00714BE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Eastman Chemicals, a global chemicals company, on responding to the first abuse of dominance investigation initiated by the SAIC in the chemicals industry as well as an NDRC investigation into resale price maintenance</w:t>
      </w:r>
    </w:p>
    <w:p w14:paraId="5CF34A2B" w14:textId="77777777" w:rsidR="00714BEE" w:rsidRDefault="00714BEE" w:rsidP="00714BE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GN Audio, a global producer of consumer products, on handling an antitrust investigation by the NDRC and its local counterpart</w:t>
      </w:r>
    </w:p>
    <w:p w14:paraId="3556863A" w14:textId="77777777" w:rsidR="00714BEE" w:rsidRDefault="00714BEE" w:rsidP="00714BE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world-leading pharmaceutical company on responding to an antitrust investigation by the Zhejiang AMR</w:t>
      </w:r>
    </w:p>
    <w:p w14:paraId="1719BC8E" w14:textId="77777777" w:rsidR="00714BEE" w:rsidRDefault="00714BEE" w:rsidP="00714BE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world-leading consumer products company on responding to an SHAMR investigation into resale price maintenance</w:t>
      </w:r>
    </w:p>
    <w:p w14:paraId="0B676886" w14:textId="77777777" w:rsidR="00714BEE" w:rsidRDefault="00714BEE" w:rsidP="00714BE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global manufacturer on an NDRC antitrust investigation into abuse of dominance</w:t>
      </w:r>
    </w:p>
    <w:p w14:paraId="51AF26F7" w14:textId="77777777" w:rsidR="00714BEE" w:rsidRDefault="00714BEE" w:rsidP="00714BE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two multinational automobile companies on handling antitrust investigations initiated by Chinese competition authorities</w:t>
      </w:r>
    </w:p>
    <w:p w14:paraId="2E955416" w14:textId="77777777" w:rsidR="00714BEE" w:rsidRDefault="00714BEE" w:rsidP="00714BE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leading global high-tech company on handling an antitrust investigation by the SAIC</w:t>
      </w:r>
    </w:p>
    <w:p w14:paraId="3CE7DC99" w14:textId="77777777" w:rsidR="00714BEE" w:rsidRDefault="00714BEE" w:rsidP="00714BE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luxury eye-glasses company on handling a dawn raid by the NDRC and on responding to the authority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>s questionnaires</w:t>
      </w:r>
    </w:p>
    <w:p w14:paraId="53F794D9" w14:textId="77777777" w:rsidR="00714BEE" w:rsidRDefault="00714BEE" w:rsidP="00714BEE">
      <w:pPr>
        <w:pStyle w:val="af5"/>
        <w:spacing w:before="12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Swita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>s recent work in advising on PRC merger control includes advising</w:t>
      </w:r>
    </w:p>
    <w:p w14:paraId="618621C5" w14:textId="77777777" w:rsidR="00714BEE" w:rsidRDefault="00714BEE" w:rsidP="00714BE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Cargotec on the PRC merger filing for its EUR 87 million acquisition of TTS Group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>s marine and offshore business, which was the recent largest deal and remedy case in the ship equipment industry</w:t>
      </w:r>
    </w:p>
    <w:p w14:paraId="6361C6BA" w14:textId="77777777" w:rsidR="00714BEE" w:rsidRDefault="00714BEE" w:rsidP="00714BE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Suez on its Chinese merger filing for the acquisition of the GE Water Treatment and Process Technologies Business</w:t>
      </w:r>
    </w:p>
    <w:p w14:paraId="55288D34" w14:textId="77777777" w:rsidR="00714BEE" w:rsidRDefault="00714BEE" w:rsidP="00714BE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 leading domestic internet company on assessing the notifiability and conducting competition analysis for its transactions</w:t>
      </w:r>
    </w:p>
    <w:p w14:paraId="39DE1BA7" w14:textId="77777777" w:rsidR="00714BEE" w:rsidRDefault="00714BEE" w:rsidP="00714BE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both parties in the Chinese merger filing for two leading PE funds</w:t>
      </w:r>
      <w:r w:rsidRPr="00714BEE">
        <w:rPr>
          <w:rFonts w:ascii="等线" w:eastAsia="等线" w:hAnsi="Times New Roman"/>
          <w:color w:val="000000"/>
        </w:rPr>
        <w:t>’</w:t>
      </w:r>
      <w:r w:rsidRPr="00714BEE">
        <w:rPr>
          <w:rFonts w:ascii="等线" w:eastAsia="等线" w:hAnsi="Times New Roman"/>
          <w:color w:val="000000"/>
        </w:rPr>
        <w:t xml:space="preserve"> investment in a home appliance company</w:t>
      </w:r>
    </w:p>
    <w:p w14:paraId="411EC3F1" w14:textId="77777777" w:rsidR="00714BEE" w:rsidRDefault="00714BEE" w:rsidP="00714BE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FAM AB on its Chinese merger filing for the acquisition of a leading European packaging company</w:t>
      </w:r>
    </w:p>
    <w:p w14:paraId="7364797B" w14:textId="77777777" w:rsidR="00714BEE" w:rsidRDefault="00714BEE" w:rsidP="00714BE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several Japanese conglomerates on assessing the notifiability of their transactions</w:t>
      </w:r>
    </w:p>
    <w:p w14:paraId="4A58BE60" w14:textId="77777777" w:rsidR="00714BEE" w:rsidRDefault="00714BEE" w:rsidP="00714BE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several leading global and domestic funds on assessing the notifiability of their transactions</w:t>
      </w:r>
    </w:p>
    <w:p w14:paraId="29503BA2" w14:textId="77777777" w:rsidR="00714BEE" w:rsidRDefault="00714BEE" w:rsidP="00714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4BEE">
        <w:rPr>
          <w:rFonts w:ascii="等线" w:eastAsia="等线" w:hAnsi="等线"/>
          <w:b/>
          <w:sz w:val="24"/>
        </w:rPr>
        <w:t>Education</w:t>
      </w:r>
    </w:p>
    <w:p w14:paraId="6E1E2625" w14:textId="77777777" w:rsidR="00714BEE" w:rsidRDefault="00714BEE" w:rsidP="00714BE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East China University of Politics and Law, School of Economic Law, LL.M.</w:t>
      </w:r>
    </w:p>
    <w:p w14:paraId="126CD640" w14:textId="77777777" w:rsidR="00714BEE" w:rsidRDefault="00714BEE" w:rsidP="00714BE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East China University of Politics and Law, School of Economic Law, LL.B.</w:t>
      </w:r>
    </w:p>
    <w:p w14:paraId="1E035869" w14:textId="77777777" w:rsidR="00714BEE" w:rsidRDefault="00714BEE" w:rsidP="00714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4BEE">
        <w:rPr>
          <w:rFonts w:ascii="等线" w:eastAsia="等线" w:hAnsi="等线"/>
          <w:b/>
          <w:sz w:val="24"/>
        </w:rPr>
        <w:t>Professional Qualification</w:t>
      </w:r>
    </w:p>
    <w:p w14:paraId="2F254143" w14:textId="77777777" w:rsidR="00714BEE" w:rsidRDefault="00714BEE" w:rsidP="00714BE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Admitted to practice in the PRC</w:t>
      </w:r>
    </w:p>
    <w:p w14:paraId="7038AFFA" w14:textId="77777777" w:rsidR="00714BEE" w:rsidRDefault="00714BEE" w:rsidP="00714BE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4BEE">
        <w:rPr>
          <w:rFonts w:ascii="等线" w:eastAsia="等线" w:hAnsi="等线"/>
          <w:b/>
          <w:sz w:val="24"/>
        </w:rPr>
        <w:t>Work Language</w:t>
      </w:r>
    </w:p>
    <w:p w14:paraId="7C738998" w14:textId="77777777" w:rsidR="00714BEE" w:rsidRDefault="00714BEE" w:rsidP="00714BE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Mandarin</w:t>
      </w:r>
    </w:p>
    <w:p w14:paraId="5567FC3C" w14:textId="77727EEE" w:rsidR="00686369" w:rsidRPr="00714BEE" w:rsidRDefault="00714BEE" w:rsidP="00714BE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4BEE">
        <w:rPr>
          <w:rFonts w:ascii="等线" w:eastAsia="等线" w:hAnsi="Times New Roman"/>
          <w:color w:val="000000"/>
        </w:rPr>
        <w:t>English</w:t>
      </w:r>
    </w:p>
    <w:sectPr w:rsidR="00686369" w:rsidRPr="00714BE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DE2"/>
    <w:multiLevelType w:val="singleLevel"/>
    <w:tmpl w:val="BD249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C36755"/>
    <w:multiLevelType w:val="singleLevel"/>
    <w:tmpl w:val="FCF60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EE6F9F"/>
    <w:multiLevelType w:val="singleLevel"/>
    <w:tmpl w:val="7EA02F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025B7C"/>
    <w:multiLevelType w:val="singleLevel"/>
    <w:tmpl w:val="C3B82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B53652"/>
    <w:multiLevelType w:val="singleLevel"/>
    <w:tmpl w:val="8F40F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325662"/>
    <w:multiLevelType w:val="singleLevel"/>
    <w:tmpl w:val="AECA1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C20501"/>
    <w:multiLevelType w:val="singleLevel"/>
    <w:tmpl w:val="19288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E23B87"/>
    <w:multiLevelType w:val="singleLevel"/>
    <w:tmpl w:val="7F16F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2C72BE"/>
    <w:multiLevelType w:val="singleLevel"/>
    <w:tmpl w:val="B3CAE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494EB5"/>
    <w:multiLevelType w:val="singleLevel"/>
    <w:tmpl w:val="5A2CCD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333E96"/>
    <w:multiLevelType w:val="singleLevel"/>
    <w:tmpl w:val="BC98A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7449A8"/>
    <w:multiLevelType w:val="singleLevel"/>
    <w:tmpl w:val="F59E6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693749A"/>
    <w:multiLevelType w:val="singleLevel"/>
    <w:tmpl w:val="C6565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8562DA"/>
    <w:multiLevelType w:val="singleLevel"/>
    <w:tmpl w:val="911AF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E03D21"/>
    <w:multiLevelType w:val="singleLevel"/>
    <w:tmpl w:val="E18A1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E36627"/>
    <w:multiLevelType w:val="singleLevel"/>
    <w:tmpl w:val="F8B27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336A30"/>
    <w:multiLevelType w:val="singleLevel"/>
    <w:tmpl w:val="FCF60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A9631D"/>
    <w:multiLevelType w:val="singleLevel"/>
    <w:tmpl w:val="309AF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5F3A39"/>
    <w:multiLevelType w:val="singleLevel"/>
    <w:tmpl w:val="4D646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206C46"/>
    <w:multiLevelType w:val="singleLevel"/>
    <w:tmpl w:val="D5E67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E64804"/>
    <w:multiLevelType w:val="singleLevel"/>
    <w:tmpl w:val="43A8D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5D3457"/>
    <w:multiLevelType w:val="singleLevel"/>
    <w:tmpl w:val="2AC40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6413A7"/>
    <w:multiLevelType w:val="singleLevel"/>
    <w:tmpl w:val="C8FAD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06166A"/>
    <w:multiLevelType w:val="singleLevel"/>
    <w:tmpl w:val="A224E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A13626"/>
    <w:multiLevelType w:val="singleLevel"/>
    <w:tmpl w:val="70D8A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2D119A"/>
    <w:multiLevelType w:val="singleLevel"/>
    <w:tmpl w:val="59301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5E77B5E"/>
    <w:multiLevelType w:val="singleLevel"/>
    <w:tmpl w:val="3D08D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EB7B97"/>
    <w:multiLevelType w:val="singleLevel"/>
    <w:tmpl w:val="01F6A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9356D5"/>
    <w:multiLevelType w:val="singleLevel"/>
    <w:tmpl w:val="00146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5A7BDD"/>
    <w:multiLevelType w:val="singleLevel"/>
    <w:tmpl w:val="45A8A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BDF7EA1"/>
    <w:multiLevelType w:val="singleLevel"/>
    <w:tmpl w:val="9DEE5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C563632"/>
    <w:multiLevelType w:val="singleLevel"/>
    <w:tmpl w:val="E6722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E294119"/>
    <w:multiLevelType w:val="singleLevel"/>
    <w:tmpl w:val="D038A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19"/>
  </w:num>
  <w:num w:numId="4">
    <w:abstractNumId w:val="13"/>
  </w:num>
  <w:num w:numId="5">
    <w:abstractNumId w:val="16"/>
  </w:num>
  <w:num w:numId="6">
    <w:abstractNumId w:val="5"/>
  </w:num>
  <w:num w:numId="7">
    <w:abstractNumId w:val="4"/>
  </w:num>
  <w:num w:numId="8">
    <w:abstractNumId w:val="34"/>
  </w:num>
  <w:num w:numId="9">
    <w:abstractNumId w:val="6"/>
  </w:num>
  <w:num w:numId="10">
    <w:abstractNumId w:val="32"/>
  </w:num>
  <w:num w:numId="11">
    <w:abstractNumId w:val="10"/>
  </w:num>
  <w:num w:numId="12">
    <w:abstractNumId w:val="24"/>
  </w:num>
  <w:num w:numId="13">
    <w:abstractNumId w:val="33"/>
  </w:num>
  <w:num w:numId="14">
    <w:abstractNumId w:val="2"/>
  </w:num>
  <w:num w:numId="15">
    <w:abstractNumId w:val="31"/>
  </w:num>
  <w:num w:numId="16">
    <w:abstractNumId w:val="15"/>
  </w:num>
  <w:num w:numId="17">
    <w:abstractNumId w:val="28"/>
  </w:num>
  <w:num w:numId="18">
    <w:abstractNumId w:val="0"/>
  </w:num>
  <w:num w:numId="19">
    <w:abstractNumId w:val="21"/>
  </w:num>
  <w:num w:numId="20">
    <w:abstractNumId w:val="26"/>
  </w:num>
  <w:num w:numId="21">
    <w:abstractNumId w:val="9"/>
  </w:num>
  <w:num w:numId="22">
    <w:abstractNumId w:val="25"/>
  </w:num>
  <w:num w:numId="23">
    <w:abstractNumId w:val="8"/>
  </w:num>
  <w:num w:numId="24">
    <w:abstractNumId w:val="30"/>
  </w:num>
  <w:num w:numId="25">
    <w:abstractNumId w:val="11"/>
  </w:num>
  <w:num w:numId="26">
    <w:abstractNumId w:val="29"/>
  </w:num>
  <w:num w:numId="27">
    <w:abstractNumId w:val="22"/>
  </w:num>
  <w:num w:numId="28">
    <w:abstractNumId w:val="23"/>
  </w:num>
  <w:num w:numId="29">
    <w:abstractNumId w:val="27"/>
  </w:num>
  <w:num w:numId="30">
    <w:abstractNumId w:val="20"/>
  </w:num>
  <w:num w:numId="31">
    <w:abstractNumId w:val="7"/>
  </w:num>
  <w:num w:numId="32">
    <w:abstractNumId w:val="3"/>
  </w:num>
  <w:num w:numId="33">
    <w:abstractNumId w:val="17"/>
  </w:num>
  <w:num w:numId="34">
    <w:abstractNumId w:val="18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4BEE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14BE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14BE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46B325-57D3-455E-9247-FAECF0113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2026-07-16T15:57:00Z</dcterms:created>
  <dcterms:modified xsi:type="dcterms:W3CDTF">2026-07-16T15:57:00Z</dcterms:modified>
</cp:coreProperties>
</file>