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C76EE7F" w:rsidR="0049405C" w:rsidRPr="00C24D79" w:rsidRDefault="007644A1" w:rsidP="007644A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644A1">
              <w:rPr>
                <w:rFonts w:ascii="等线" w:eastAsia="等线" w:hAnsi="Times New Roman"/>
                <w:b/>
                <w:color w:val="000000"/>
                <w:sz w:val="48"/>
              </w:rPr>
              <w:t>HARRY XU</w:t>
            </w:r>
            <w:bookmarkEnd w:id="0"/>
          </w:p>
          <w:p w14:paraId="706EB16B" w14:textId="79A88707" w:rsidR="0049405C" w:rsidRPr="00C24D79" w:rsidRDefault="007644A1" w:rsidP="007644A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644A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644A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644A1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151125A" w:rsidR="0049405C" w:rsidRPr="00C24D79" w:rsidRDefault="007644A1" w:rsidP="007644A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644A1">
              <w:rPr>
                <w:rFonts w:ascii="等线" w:eastAsia="等线" w:hAnsi="Times New Roman"/>
                <w:color w:val="000000"/>
              </w:rPr>
              <w:t xml:space="preserve">+86 21 6263 5822 </w:t>
            </w:r>
            <w:bookmarkEnd w:id="3"/>
          </w:p>
          <w:p w14:paraId="4F910ACA" w14:textId="2E39D572" w:rsidR="0049405C" w:rsidRPr="00C24D79" w:rsidRDefault="007644A1" w:rsidP="007644A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644A1">
              <w:rPr>
                <w:rFonts w:ascii="等线" w:eastAsia="等线" w:hAnsi="Times New Roman"/>
                <w:color w:val="000000"/>
              </w:rPr>
              <w:t>harry.xu@fangdalaw.com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9864858" w:rsidR="0049405C" w:rsidRPr="00C24D79" w:rsidRDefault="007644A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F921ACD" wp14:editId="2ADB7D6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BBE4C94" w:rsidR="009465FB" w:rsidRPr="00C24D79" w:rsidRDefault="007644A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644A1">
              <w:rPr>
                <w:rFonts w:ascii="等线" w:eastAsia="等线" w:hAnsi="Times New Roman"/>
                <w:color w:val="000000"/>
                <w:szCs w:val="21"/>
              </w:rPr>
              <w:t>MR. HARRY XU SPECIALIZES IN BANKING AND FINANCING, FINANCIAL INSTITUTIONS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8A9CBB4" w14:textId="77777777" w:rsidR="007644A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EE6D2B7" w14:textId="77777777" w:rsidR="007644A1" w:rsidRDefault="007644A1" w:rsidP="007644A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644A1">
        <w:rPr>
          <w:rFonts w:ascii="等线" w:eastAsia="等线" w:hAnsi="等线"/>
          <w:b/>
          <w:sz w:val="24"/>
        </w:rPr>
        <w:t>REPRESENTATIVE MATTERS AND CASES</w:t>
      </w:r>
    </w:p>
    <w:p w14:paraId="096BEADB" w14:textId="77777777" w:rsidR="007644A1" w:rsidRDefault="007644A1" w:rsidP="007644A1">
      <w:pPr>
        <w:pStyle w:val="af5"/>
        <w:spacing w:before="12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Corporate Financing</w:t>
      </w:r>
    </w:p>
    <w:p w14:paraId="24D6966C" w14:textId="77777777" w:rsidR="007644A1" w:rsidRDefault="007644A1" w:rsidP="007644A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acquisition vehicles controlled by 58.com's management and other institutions in a syndicate loan arranged by SPDB, CMB and Ping An Bank for the merger and privatization of 58.com (NYSE: WUBA)</w:t>
      </w:r>
    </w:p>
    <w:p w14:paraId="0B4F9CE6" w14:textId="77777777" w:rsidR="007644A1" w:rsidRDefault="007644A1" w:rsidP="007644A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acquisition vehicles controlled by Loyal Valley Capital, Green Pine Capital Partners (GPCP) and its founders in a privatization loan arranged by CMB for the merger and privatization of O-Net (00877.HK)</w:t>
      </w:r>
    </w:p>
    <w:p w14:paraId="6EE48349" w14:textId="77777777" w:rsidR="007644A1" w:rsidRDefault="007644A1" w:rsidP="007644A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Goldwind in its project financing in Argentina arranged by Bank of China and Santander (Deal of the year for Infrastructure and Energy, China Law and Practice)</w:t>
      </w:r>
    </w:p>
    <w:p w14:paraId="12A658D3" w14:textId="77777777" w:rsidR="007644A1" w:rsidRDefault="007644A1" w:rsidP="007644A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acquisition vehicles controlled by Centurium Capital and other institutions in a syndicate loan arranged by SPDB and Ping An Bank for the merger and privatization of China Biologic Products (NASDAQ: CBPO)</w:t>
      </w:r>
    </w:p>
    <w:p w14:paraId="1629F5F6" w14:textId="77777777" w:rsidR="007644A1" w:rsidRDefault="007644A1" w:rsidP="007644A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acquisition vehicles controlled by 51job's management and other institutions in a syndicate loan arranged by SPDB and CMB for the merger and privatization of 51job (NYSE: JOBS)</w:t>
      </w:r>
    </w:p>
    <w:p w14:paraId="4AA73C49" w14:textId="77777777" w:rsidR="007644A1" w:rsidRDefault="007644A1" w:rsidP="007644A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Warburg Pincus and 52mf in an acquisition loan arranged by Sinopac for the merger of Vlinker</w:t>
      </w:r>
    </w:p>
    <w:p w14:paraId="7A45020A" w14:textId="77777777" w:rsidR="007644A1" w:rsidRDefault="007644A1" w:rsidP="007644A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Brookfield in an acquisition loan arranged by Bank of China, ICBC and China Everbright Bank for the merger of a commercial complex owned by a Greenland-based company in Shanghai</w:t>
      </w:r>
    </w:p>
    <w:p w14:paraId="42F0BC0B" w14:textId="77777777" w:rsidR="007644A1" w:rsidRDefault="007644A1" w:rsidP="007644A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Brookfield in an acquisition loan arranged by Bank of China for the merger of five commercial complexes</w:t>
      </w:r>
    </w:p>
    <w:p w14:paraId="0DD46A68" w14:textId="77777777" w:rsidR="007644A1" w:rsidRDefault="007644A1" w:rsidP="007644A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Burger King in its working capital loan and fixed asset loan from Rabobank for its store development project in China</w:t>
      </w:r>
    </w:p>
    <w:p w14:paraId="6BF2B4FC" w14:textId="77777777" w:rsidR="007644A1" w:rsidRDefault="007644A1" w:rsidP="007644A1">
      <w:pPr>
        <w:pStyle w:val="af5"/>
        <w:spacing w:before="12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Bank Financing</w:t>
      </w:r>
    </w:p>
    <w:p w14:paraId="29F0818A" w14:textId="77777777" w:rsidR="007644A1" w:rsidRDefault="007644A1" w:rsidP="007644A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a syndicate consisting of CMB, SPDB, Minsheng Bank, Bank of China, Ping An Bank, Industrial Bank and SPD Silicon Valley Bank in acquisition financing to a consortium including Hillhouse for the purpose of acquiring 15% shareholding in Gree Electric Appliances (SZSE: 000651)</w:t>
      </w:r>
    </w:p>
    <w:p w14:paraId="51F370B8" w14:textId="77777777" w:rsidR="007644A1" w:rsidRDefault="007644A1" w:rsidP="007644A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CMB in a loan to acquisition vehicles controlled by the founders and other institutions for the merger and privatization of China Distance Education (NYSE: DL)</w:t>
      </w:r>
    </w:p>
    <w:p w14:paraId="5EFC13DD" w14:textId="77777777" w:rsidR="007644A1" w:rsidRDefault="007644A1" w:rsidP="007644A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a syndicate led by Shanghai Pudong Development Bank, Bank of China and China Merchant Bank in RMB 4 billion in financing to Keppel Land for the purpose of developing a commercial complex in Shanghai</w:t>
      </w:r>
    </w:p>
    <w:p w14:paraId="4449CDD6" w14:textId="77777777" w:rsidR="007644A1" w:rsidRDefault="007644A1" w:rsidP="007644A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Bank of China in a loan to acquisition vehicles controlled by CITIC Capital for the merger of UCO</w:t>
      </w:r>
    </w:p>
    <w:p w14:paraId="53AB76D8" w14:textId="77777777" w:rsidR="007644A1" w:rsidRDefault="007644A1" w:rsidP="007644A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Bank of China Macao in a loan to JS Global (HKEX: 01691)</w:t>
      </w:r>
    </w:p>
    <w:p w14:paraId="39187EA0" w14:textId="77777777" w:rsidR="007644A1" w:rsidRDefault="007644A1" w:rsidP="007644A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DBS, Bank of China, Ping An Bank, Chongqing Bank, Maybank and China Citic Bank in loan to Sasseur Retail REIT</w:t>
      </w:r>
    </w:p>
    <w:p w14:paraId="40ED4E63" w14:textId="77777777" w:rsidR="007644A1" w:rsidRDefault="007644A1" w:rsidP="007644A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DBS in a loan to BHG Retail REIT</w:t>
      </w:r>
    </w:p>
    <w:p w14:paraId="47051A86" w14:textId="77777777" w:rsidR="007644A1" w:rsidRDefault="007644A1" w:rsidP="007644A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Represented a syndicate led by BOC and ICBC in financing to Jinjiang for the purpose of the merger of Plateno Group</w:t>
      </w:r>
    </w:p>
    <w:p w14:paraId="582D34D5" w14:textId="77777777" w:rsidR="007644A1" w:rsidRDefault="007644A1" w:rsidP="007644A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644A1">
        <w:rPr>
          <w:rFonts w:ascii="等线" w:eastAsia="等线" w:hAnsi="等线"/>
          <w:b/>
          <w:sz w:val="24"/>
        </w:rPr>
        <w:t>Education</w:t>
      </w:r>
    </w:p>
    <w:p w14:paraId="25021D35" w14:textId="77777777" w:rsidR="007644A1" w:rsidRDefault="007644A1" w:rsidP="007644A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Zhejiang University, LL.B.</w:t>
      </w:r>
    </w:p>
    <w:p w14:paraId="2A47C146" w14:textId="77777777" w:rsidR="007644A1" w:rsidRDefault="007644A1" w:rsidP="007644A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National Chengchi University, LL.M.</w:t>
      </w:r>
    </w:p>
    <w:p w14:paraId="6F6C8BA7" w14:textId="77777777" w:rsidR="007644A1" w:rsidRDefault="007644A1" w:rsidP="007644A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644A1">
        <w:rPr>
          <w:rFonts w:ascii="等线" w:eastAsia="等线" w:hAnsi="等线"/>
          <w:b/>
          <w:sz w:val="24"/>
        </w:rPr>
        <w:t>Professional Qualification</w:t>
      </w:r>
    </w:p>
    <w:p w14:paraId="4A04B261" w14:textId="77777777" w:rsidR="007644A1" w:rsidRDefault="007644A1" w:rsidP="007644A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Admitted to practice in the PRC</w:t>
      </w:r>
    </w:p>
    <w:p w14:paraId="24DB8C44" w14:textId="77777777" w:rsidR="007644A1" w:rsidRDefault="007644A1" w:rsidP="007644A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644A1">
        <w:rPr>
          <w:rFonts w:ascii="等线" w:eastAsia="等线" w:hAnsi="等线"/>
          <w:b/>
          <w:sz w:val="24"/>
        </w:rPr>
        <w:t>Professional Background</w:t>
      </w:r>
    </w:p>
    <w:p w14:paraId="5567FC3C" w14:textId="15A0DF6D" w:rsidR="00686369" w:rsidRPr="007644A1" w:rsidRDefault="007644A1" w:rsidP="007644A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44A1">
        <w:rPr>
          <w:rFonts w:ascii="等线" w:eastAsia="等线" w:hAnsi="Times New Roman"/>
          <w:color w:val="000000"/>
        </w:rPr>
        <w:t>Mr. Harry Xu joined the Shanghai office of Fangda Partners in 2018. Before joining Fangda Partners, Mr. Harry Xu worked at another leading PRC law firm.</w:t>
      </w:r>
    </w:p>
    <w:sectPr w:rsidR="00686369" w:rsidRPr="007644A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F781B"/>
    <w:multiLevelType w:val="singleLevel"/>
    <w:tmpl w:val="0DD888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78152E5"/>
    <w:multiLevelType w:val="singleLevel"/>
    <w:tmpl w:val="670222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A973B8E"/>
    <w:multiLevelType w:val="singleLevel"/>
    <w:tmpl w:val="4C06CF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52B2195"/>
    <w:multiLevelType w:val="singleLevel"/>
    <w:tmpl w:val="53EAC5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8A45072"/>
    <w:multiLevelType w:val="singleLevel"/>
    <w:tmpl w:val="A83A53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0196F88"/>
    <w:multiLevelType w:val="singleLevel"/>
    <w:tmpl w:val="0AD869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0E45DC9"/>
    <w:multiLevelType w:val="singleLevel"/>
    <w:tmpl w:val="05D89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41307D7"/>
    <w:multiLevelType w:val="singleLevel"/>
    <w:tmpl w:val="E27644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0DF6B6B"/>
    <w:multiLevelType w:val="singleLevel"/>
    <w:tmpl w:val="B7744A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1FE5E21"/>
    <w:multiLevelType w:val="singleLevel"/>
    <w:tmpl w:val="3A1246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5AD2EA2"/>
    <w:multiLevelType w:val="singleLevel"/>
    <w:tmpl w:val="AF4ECF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63816D0"/>
    <w:multiLevelType w:val="singleLevel"/>
    <w:tmpl w:val="59B04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90A4C5F"/>
    <w:multiLevelType w:val="singleLevel"/>
    <w:tmpl w:val="AF4ECF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9917415"/>
    <w:multiLevelType w:val="singleLevel"/>
    <w:tmpl w:val="824067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0FF11C2"/>
    <w:multiLevelType w:val="singleLevel"/>
    <w:tmpl w:val="0C8A7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DFB2C06"/>
    <w:multiLevelType w:val="singleLevel"/>
    <w:tmpl w:val="598605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1A95D9C"/>
    <w:multiLevelType w:val="singleLevel"/>
    <w:tmpl w:val="3D8C74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B6D77F2"/>
    <w:multiLevelType w:val="singleLevel"/>
    <w:tmpl w:val="88B86B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FCD6850"/>
    <w:multiLevelType w:val="singleLevel"/>
    <w:tmpl w:val="05D03D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36B2831"/>
    <w:multiLevelType w:val="singleLevel"/>
    <w:tmpl w:val="06BA5E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4CE4E1E"/>
    <w:multiLevelType w:val="singleLevel"/>
    <w:tmpl w:val="D876DA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DAD371B"/>
    <w:multiLevelType w:val="singleLevel"/>
    <w:tmpl w:val="0F1290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9"/>
  </w:num>
  <w:num w:numId="3">
    <w:abstractNumId w:val="18"/>
  </w:num>
  <w:num w:numId="4">
    <w:abstractNumId w:val="16"/>
  </w:num>
  <w:num w:numId="5">
    <w:abstractNumId w:val="0"/>
  </w:num>
  <w:num w:numId="6">
    <w:abstractNumId w:val="21"/>
  </w:num>
  <w:num w:numId="7">
    <w:abstractNumId w:val="3"/>
  </w:num>
  <w:num w:numId="8">
    <w:abstractNumId w:val="20"/>
  </w:num>
  <w:num w:numId="9">
    <w:abstractNumId w:val="4"/>
  </w:num>
  <w:num w:numId="10">
    <w:abstractNumId w:val="6"/>
  </w:num>
  <w:num w:numId="11">
    <w:abstractNumId w:val="2"/>
  </w:num>
  <w:num w:numId="12">
    <w:abstractNumId w:val="15"/>
  </w:num>
  <w:num w:numId="13">
    <w:abstractNumId w:val="17"/>
  </w:num>
  <w:num w:numId="14">
    <w:abstractNumId w:val="11"/>
  </w:num>
  <w:num w:numId="15">
    <w:abstractNumId w:val="13"/>
  </w:num>
  <w:num w:numId="16">
    <w:abstractNumId w:val="1"/>
  </w:num>
  <w:num w:numId="17">
    <w:abstractNumId w:val="7"/>
  </w:num>
  <w:num w:numId="18">
    <w:abstractNumId w:val="10"/>
  </w:num>
  <w:num w:numId="19">
    <w:abstractNumId w:val="22"/>
  </w:num>
  <w:num w:numId="20">
    <w:abstractNumId w:val="23"/>
  </w:num>
  <w:num w:numId="21">
    <w:abstractNumId w:val="19"/>
  </w:num>
  <w:num w:numId="22">
    <w:abstractNumId w:val="8"/>
  </w:num>
  <w:num w:numId="23">
    <w:abstractNumId w:val="14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44A1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644A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644A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D4C878D-8501-467D-A8F1-E7328BE59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2761</Characters>
  <Application>Microsoft Office Word</Application>
  <DocSecurity>0</DocSecurity>
  <Lines>23</Lines>
  <Paragraphs>6</Paragraphs>
  <ScaleCrop>false</ScaleCrop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2026-10-23T09:11:00Z</dcterms:created>
  <dcterms:modified xsi:type="dcterms:W3CDTF">2026-10-23T09:11:00Z</dcterms:modified>
</cp:coreProperties>
</file>