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A8D50E" w:rsidR="0049405C" w:rsidRPr="00C24D79" w:rsidRDefault="0072491E" w:rsidP="0072491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2491E">
              <w:rPr>
                <w:rFonts w:ascii="等线" w:eastAsia="等线" w:hAnsi="Times New Roman"/>
                <w:b/>
                <w:color w:val="000000"/>
                <w:sz w:val="48"/>
              </w:rPr>
              <w:t>NAPOLEON ZHAO</w:t>
            </w:r>
            <w:bookmarkEnd w:id="0"/>
          </w:p>
          <w:p w14:paraId="706EB16B" w14:textId="20022792" w:rsidR="0049405C" w:rsidRPr="00C24D79" w:rsidRDefault="0072491E" w:rsidP="0072491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2491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2491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2491E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0DB4C955" w:rsidR="0049405C" w:rsidRPr="00C24D79" w:rsidRDefault="0072491E" w:rsidP="0072491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2491E">
              <w:rPr>
                <w:rFonts w:ascii="等线" w:eastAsia="等线" w:hAnsi="Times New Roman"/>
                <w:color w:val="000000"/>
              </w:rPr>
              <w:t xml:space="preserve">+86 755 8159 3930 </w:t>
            </w:r>
            <w:bookmarkEnd w:id="3"/>
          </w:p>
          <w:p w14:paraId="4F910ACA" w14:textId="6B9C8BAE" w:rsidR="0049405C" w:rsidRPr="00C24D79" w:rsidRDefault="0072491E" w:rsidP="0072491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2491E">
              <w:rPr>
                <w:rFonts w:ascii="等线" w:eastAsia="等线" w:hAnsi="Times New Roman"/>
                <w:color w:val="000000"/>
              </w:rPr>
              <w:t>xiao.zhao@fangdalaw.com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C0FAE2" w:rsidR="0049405C" w:rsidRPr="00C24D79" w:rsidRDefault="0072491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6654ED3" wp14:editId="7D2105A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FA78F30" w:rsidR="009465FB" w:rsidRPr="00C24D79" w:rsidRDefault="0072491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2491E">
              <w:rPr>
                <w:rFonts w:ascii="等线" w:eastAsia="等线" w:hAnsi="Times New Roman"/>
                <w:color w:val="000000"/>
                <w:szCs w:val="21"/>
              </w:rPr>
              <w:t>NAPOLEON ZHAO SPECIALIZES IN FOREIGN DIRECT INVESTMENT, CROSS-BORDER INVESTMENT, FINANCING, CAPITAL MARKETS, CORPORATE RESTRUCTURING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A27F2F" w14:textId="77777777" w:rsidR="0072491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4B6B6D5" w14:textId="77777777" w:rsidR="0072491E" w:rsidRDefault="0072491E" w:rsidP="007249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491E">
        <w:rPr>
          <w:rFonts w:ascii="等线" w:eastAsia="等线" w:hAnsi="等线"/>
          <w:b/>
          <w:sz w:val="24"/>
        </w:rPr>
        <w:t>REPRESENTATIVE MATTERS AND CASES</w:t>
      </w:r>
    </w:p>
    <w:p w14:paraId="1DF454DA" w14:textId="77777777" w:rsidR="0072491E" w:rsidRDefault="0072491E" w:rsidP="0072491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3890CB0" w14:textId="77777777" w:rsidR="0072491E" w:rsidRDefault="0072491E" w:rsidP="0072491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Representing Alibaba in its investments in Meizu Technology</w:t>
      </w:r>
    </w:p>
    <w:p w14:paraId="4AA52713" w14:textId="77777777" w:rsidR="0072491E" w:rsidRDefault="0072491E" w:rsidP="0072491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Representing FountainVest in its investments in Fangduoduo</w:t>
      </w:r>
    </w:p>
    <w:p w14:paraId="76D5F360" w14:textId="77777777" w:rsidR="0072491E" w:rsidRDefault="0072491E" w:rsidP="0072491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Representing China Capital Investment Group in its RMB 150 million investment in UV-CHEMTECH, a nation-leading provider of integrated solutions for environmental coatings</w:t>
      </w:r>
    </w:p>
    <w:p w14:paraId="1C779269" w14:textId="77777777" w:rsidR="0072491E" w:rsidRDefault="0072491E" w:rsidP="0072491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Representing PAG in its investments in Dashboard Company</w:t>
      </w:r>
    </w:p>
    <w:p w14:paraId="55956C25" w14:textId="77777777" w:rsidR="0072491E" w:rsidRDefault="0072491E" w:rsidP="0072491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Representing a Hong Kong listed company in its potential contribution of Huizhou industrial property to a real estate development cooperation and in the conversion of the industrial property into residential and commercial property by way of urban renewal and reconstruction</w:t>
      </w:r>
    </w:p>
    <w:p w14:paraId="6DEC7424" w14:textId="77777777" w:rsidR="0072491E" w:rsidRDefault="0072491E" w:rsidP="0072491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CLSA, as sole global coordinator and sponsor, in the IPO and Hong Kong Stock Exchange listing of Nameson Holdings Limited</w:t>
      </w:r>
    </w:p>
    <w:p w14:paraId="139D01F5" w14:textId="77777777" w:rsidR="0072491E" w:rsidRDefault="0072491E" w:rsidP="0072491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Shenzhen YHGlobal Supply Chain Co. LTD., a leading global enterprise in logistics supply chain coordination in its RMB 1.2 billion series A financing, with a total valuation over USD 1 billion</w:t>
      </w:r>
    </w:p>
    <w:p w14:paraId="6EFAD6EF" w14:textId="77777777" w:rsidR="0072491E" w:rsidRDefault="0072491E" w:rsidP="0072491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Shunwei Capital in its RMB 140 million investment in Shenzhen Goove Technology Co., Ltd, an intelligent household products service provider</w:t>
      </w:r>
    </w:p>
    <w:p w14:paraId="1244E5DE" w14:textId="77777777" w:rsidR="0072491E" w:rsidRDefault="0072491E" w:rsidP="0072491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31B0F0EC" w14:textId="77777777" w:rsidR="0072491E" w:rsidRDefault="0072491E" w:rsidP="0072491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1D6C0224" w14:textId="77777777" w:rsidR="0072491E" w:rsidRDefault="0072491E" w:rsidP="0072491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a leading global aluminum foil company in its IPO and listing on the Hong Kong Stock Exchange</w:t>
      </w:r>
    </w:p>
    <w:p w14:paraId="5A916EF2" w14:textId="77777777" w:rsidR="0072491E" w:rsidRDefault="0072491E" w:rsidP="0072491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TL NATURAL GAS, a leading CNG supplier in central China, in its HKD 60 million IPO and listing on the Hong Kong Stock Exchange</w:t>
      </w:r>
    </w:p>
    <w:p w14:paraId="10B59FCA" w14:textId="77777777" w:rsidR="0072491E" w:rsidRDefault="0072491E" w:rsidP="0072491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Aztech Global, a Singapore-based IoT device and data-communication product supplier, in its USD 300 million IPO and listing on the Singapore Exchange Limited</w:t>
      </w:r>
    </w:p>
    <w:p w14:paraId="252EA9B1" w14:textId="77777777" w:rsidR="0072491E" w:rsidRDefault="0072491E" w:rsidP="0072491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a leading electronics corporation in southern China in its IPO and listing on the Hong Kong Stock Exchange</w:t>
      </w:r>
    </w:p>
    <w:p w14:paraId="5D67F0B5" w14:textId="77777777" w:rsidR="0072491E" w:rsidRDefault="0072491E" w:rsidP="0072491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TCL Technology Investments Limited, a wholly owned subsidiary of TCL Technology Group Corporation (stock code: 000100), for the issue of the credit enhanced notes, raising USD 300 million. The notes will be listed on</w:t>
      </w:r>
      <w:r w:rsidRPr="0072491E">
        <w:rPr>
          <w:rFonts w:ascii="等线" w:eastAsia="等线" w:hAnsi="Times New Roman"/>
          <w:color w:val="000000"/>
        </w:rPr>
        <w:t> </w:t>
      </w:r>
      <w:r w:rsidRPr="0072491E">
        <w:rPr>
          <w:rFonts w:ascii="等线" w:eastAsia="等线" w:hAnsi="Times New Roman"/>
          <w:color w:val="000000"/>
        </w:rPr>
        <w:t xml:space="preserve"> the Singapore Exchange Limited. The joint lead managers include Bank of China Limited, Bank of China (Hong Kong) Limited, Admiralty Harbour Capital Limited, Bank of East Asia, BNP PARIBAS, Cr</w:t>
      </w:r>
      <w:r w:rsidRPr="0072491E">
        <w:rPr>
          <w:rFonts w:ascii="等线" w:eastAsia="等线" w:hAnsi="Times New Roman"/>
          <w:color w:val="000000"/>
        </w:rPr>
        <w:t>é</w:t>
      </w:r>
      <w:r w:rsidRPr="0072491E">
        <w:rPr>
          <w:rFonts w:ascii="等线" w:eastAsia="等线" w:hAnsi="Times New Roman"/>
          <w:color w:val="000000"/>
        </w:rPr>
        <w:t>dit Agricole Corporate and Investment Bank, DBS Bank Ltd, Industrial and Commercial Bank of China (Asia) Limited, Natixis, Soci</w:t>
      </w:r>
      <w:r w:rsidRPr="0072491E">
        <w:rPr>
          <w:rFonts w:ascii="等线" w:eastAsia="等线" w:hAnsi="Times New Roman"/>
          <w:color w:val="000000"/>
        </w:rPr>
        <w:t>é</w:t>
      </w:r>
      <w:r w:rsidRPr="0072491E">
        <w:rPr>
          <w:rFonts w:ascii="等线" w:eastAsia="等线" w:hAnsi="Times New Roman"/>
          <w:color w:val="000000"/>
        </w:rPr>
        <w:t>t</w:t>
      </w:r>
      <w:r w:rsidRPr="0072491E">
        <w:rPr>
          <w:rFonts w:ascii="等线" w:eastAsia="等线" w:hAnsi="Times New Roman"/>
          <w:color w:val="000000"/>
        </w:rPr>
        <w:t>é</w:t>
      </w:r>
      <w:r w:rsidRPr="0072491E">
        <w:rPr>
          <w:rFonts w:ascii="等线" w:eastAsia="等线" w:hAnsi="Times New Roman"/>
          <w:color w:val="000000"/>
        </w:rPr>
        <w:t xml:space="preserve"> G</w:t>
      </w:r>
      <w:r w:rsidRPr="0072491E">
        <w:rPr>
          <w:rFonts w:ascii="等线" w:eastAsia="等线" w:hAnsi="Times New Roman"/>
          <w:color w:val="000000"/>
        </w:rPr>
        <w:t>é</w:t>
      </w:r>
      <w:r w:rsidRPr="0072491E">
        <w:rPr>
          <w:rFonts w:ascii="等线" w:eastAsia="等线" w:hAnsi="Times New Roman"/>
          <w:color w:val="000000"/>
        </w:rPr>
        <w:t>n</w:t>
      </w:r>
      <w:r w:rsidRPr="0072491E">
        <w:rPr>
          <w:rFonts w:ascii="等线" w:eastAsia="等线" w:hAnsi="Times New Roman"/>
          <w:color w:val="000000"/>
        </w:rPr>
        <w:t>é</w:t>
      </w:r>
      <w:r w:rsidRPr="0072491E">
        <w:rPr>
          <w:rFonts w:ascii="等线" w:eastAsia="等线" w:hAnsi="Times New Roman"/>
          <w:color w:val="000000"/>
        </w:rPr>
        <w:t>rale, and Standard Chartered Bank</w:t>
      </w:r>
    </w:p>
    <w:p w14:paraId="7ED44B0F" w14:textId="77777777" w:rsidR="0072491E" w:rsidRDefault="0072491E" w:rsidP="0072491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</w:t>
      </w:r>
      <w:r w:rsidRPr="0072491E">
        <w:rPr>
          <w:rFonts w:ascii="等线" w:eastAsia="等线" w:hAnsi="Times New Roman"/>
          <w:color w:val="000000"/>
        </w:rPr>
        <w:t> </w:t>
      </w:r>
      <w:r w:rsidRPr="0072491E">
        <w:rPr>
          <w:rFonts w:ascii="等线" w:eastAsia="等线" w:hAnsi="Times New Roman"/>
          <w:color w:val="000000"/>
        </w:rPr>
        <w:t xml:space="preserve"> HK-listed China Resources Land in conducting investigations and risk assessments</w:t>
      </w:r>
      <w:r w:rsidRPr="0072491E">
        <w:rPr>
          <w:rFonts w:ascii="等线" w:eastAsia="等线" w:hAnsi="Times New Roman"/>
          <w:color w:val="000000"/>
        </w:rPr>
        <w:t> </w:t>
      </w:r>
      <w:r w:rsidRPr="0072491E">
        <w:rPr>
          <w:rFonts w:ascii="等线" w:eastAsia="等线" w:hAnsi="Times New Roman"/>
          <w:color w:val="000000"/>
        </w:rPr>
        <w:t xml:space="preserve"> on 15 real estate projects in Beijing and Guangdong, Guangxi, and Liaoning provinces jointly developed with other financial and strategic investors</w:t>
      </w:r>
    </w:p>
    <w:p w14:paraId="4BB34D0C" w14:textId="77777777" w:rsidR="0072491E" w:rsidRDefault="0072491E" w:rsidP="0072491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Karrie International Holdings Ltd., a company listed on the Hong Kong Stock Exchange, in its cooperation with domestic and overseas partners to develop residential real estate projects in Dongguan</w:t>
      </w:r>
    </w:p>
    <w:p w14:paraId="352B2D5A" w14:textId="77777777" w:rsidR="0072491E" w:rsidRDefault="0072491E" w:rsidP="0072491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Suga International Holdings Limited, a Hong Kong listed company, in its capital contributions with an industrial land in Huizhou</w:t>
      </w:r>
      <w:r w:rsidRPr="0072491E">
        <w:rPr>
          <w:rFonts w:ascii="等线" w:eastAsia="等线" w:hAnsi="Times New Roman"/>
          <w:color w:val="000000"/>
        </w:rPr>
        <w:t> </w:t>
      </w:r>
      <w:r w:rsidRPr="0072491E">
        <w:rPr>
          <w:rFonts w:ascii="等线" w:eastAsia="等线" w:hAnsi="Times New Roman"/>
          <w:color w:val="000000"/>
        </w:rPr>
        <w:t xml:space="preserve"> to establish a joint project company to develop residential and commercial real estate projects through urban renewal and reconstruction</w:t>
      </w:r>
    </w:p>
    <w:p w14:paraId="4826369A" w14:textId="77777777" w:rsidR="0072491E" w:rsidRDefault="0072491E" w:rsidP="0072491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a Hong Kong company in the RMB 700 million sale of an industrial property in Shenzhen to a domestic real estate developer and in the conversion of the property into residential and commercial property by way of urban renewal and reconstruction</w:t>
      </w:r>
    </w:p>
    <w:p w14:paraId="4A2ABC3C" w14:textId="77777777" w:rsidR="0072491E" w:rsidRDefault="0072491E" w:rsidP="0072491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Represented Philips in the swap of its property for new property provided by the local government in Zhuhai, Guangdong Province</w:t>
      </w:r>
    </w:p>
    <w:p w14:paraId="0FA3EF05" w14:textId="77777777" w:rsidR="0072491E" w:rsidRDefault="0072491E" w:rsidP="0072491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Advised multinationals and foreign listed companies on the establishment of wholly foreign-owned subsidiaries and joint ventures in China, and in general corporate, commercial and employment matters for their subsidiaries and joint ventures</w:t>
      </w:r>
    </w:p>
    <w:p w14:paraId="6F41D125" w14:textId="77777777" w:rsidR="0072491E" w:rsidRDefault="0072491E" w:rsidP="007249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491E">
        <w:rPr>
          <w:rFonts w:ascii="等线" w:eastAsia="等线" w:hAnsi="等线"/>
          <w:b/>
          <w:sz w:val="24"/>
        </w:rPr>
        <w:t>Education</w:t>
      </w:r>
    </w:p>
    <w:p w14:paraId="678C910A" w14:textId="77777777" w:rsidR="0072491E" w:rsidRDefault="0072491E" w:rsidP="0072491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Peking University, J.D. and J.M.</w:t>
      </w:r>
    </w:p>
    <w:p w14:paraId="265BDAF2" w14:textId="77777777" w:rsidR="0072491E" w:rsidRDefault="0072491E" w:rsidP="007249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491E">
        <w:rPr>
          <w:rFonts w:ascii="等线" w:eastAsia="等线" w:hAnsi="等线"/>
          <w:b/>
          <w:sz w:val="24"/>
        </w:rPr>
        <w:t>Professional Qualification</w:t>
      </w:r>
    </w:p>
    <w:p w14:paraId="566616DF" w14:textId="77777777" w:rsidR="0072491E" w:rsidRDefault="0072491E" w:rsidP="0072491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Admitted to practice in the PRC</w:t>
      </w:r>
    </w:p>
    <w:p w14:paraId="5447E263" w14:textId="77777777" w:rsidR="0072491E" w:rsidRDefault="0072491E" w:rsidP="007249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2491E">
        <w:rPr>
          <w:rFonts w:ascii="等线" w:eastAsia="等线" w:hAnsi="等线"/>
          <w:b/>
          <w:sz w:val="24"/>
        </w:rPr>
        <w:t>Professional Background</w:t>
      </w:r>
    </w:p>
    <w:p w14:paraId="5567FC3C" w14:textId="64C4E214" w:rsidR="00686369" w:rsidRPr="0072491E" w:rsidRDefault="0072491E" w:rsidP="0072491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2491E">
        <w:rPr>
          <w:rFonts w:ascii="等线" w:eastAsia="等线" w:hAnsi="Times New Roman"/>
          <w:color w:val="000000"/>
        </w:rPr>
        <w:t>Mr. Zhao joined Fangda</w:t>
      </w:r>
      <w:r w:rsidRPr="0072491E">
        <w:rPr>
          <w:rFonts w:ascii="等线" w:eastAsia="等线" w:hAnsi="Times New Roman"/>
          <w:color w:val="000000"/>
        </w:rPr>
        <w:t>’</w:t>
      </w:r>
      <w:r w:rsidRPr="0072491E">
        <w:rPr>
          <w:rFonts w:ascii="等线" w:eastAsia="等线" w:hAnsi="Times New Roman"/>
          <w:color w:val="000000"/>
        </w:rPr>
        <w:t>s Shenzhen office in 2014.</w:t>
      </w:r>
    </w:p>
    <w:sectPr w:rsidR="00686369" w:rsidRPr="0072491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D06"/>
    <w:multiLevelType w:val="singleLevel"/>
    <w:tmpl w:val="22546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8D485A"/>
    <w:multiLevelType w:val="singleLevel"/>
    <w:tmpl w:val="A9CCA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5E6AAD"/>
    <w:multiLevelType w:val="singleLevel"/>
    <w:tmpl w:val="41CCB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FA4E2C"/>
    <w:multiLevelType w:val="singleLevel"/>
    <w:tmpl w:val="E042CA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677837"/>
    <w:multiLevelType w:val="singleLevel"/>
    <w:tmpl w:val="1C4AB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F148C9"/>
    <w:multiLevelType w:val="singleLevel"/>
    <w:tmpl w:val="E1C871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3C6089"/>
    <w:multiLevelType w:val="singleLevel"/>
    <w:tmpl w:val="CE066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722827"/>
    <w:multiLevelType w:val="singleLevel"/>
    <w:tmpl w:val="E3025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28F463B"/>
    <w:multiLevelType w:val="singleLevel"/>
    <w:tmpl w:val="A48278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4D2D62"/>
    <w:multiLevelType w:val="singleLevel"/>
    <w:tmpl w:val="99B42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0D6681"/>
    <w:multiLevelType w:val="singleLevel"/>
    <w:tmpl w:val="E042CA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E56F7C"/>
    <w:multiLevelType w:val="singleLevel"/>
    <w:tmpl w:val="C6D0C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C5C5FEE"/>
    <w:multiLevelType w:val="singleLevel"/>
    <w:tmpl w:val="1C3CB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D1B672C"/>
    <w:multiLevelType w:val="singleLevel"/>
    <w:tmpl w:val="2A7A0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52018E"/>
    <w:multiLevelType w:val="singleLevel"/>
    <w:tmpl w:val="B8C05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F052B6"/>
    <w:multiLevelType w:val="singleLevel"/>
    <w:tmpl w:val="8C02C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051931"/>
    <w:multiLevelType w:val="singleLevel"/>
    <w:tmpl w:val="E93C4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C61CDB"/>
    <w:multiLevelType w:val="singleLevel"/>
    <w:tmpl w:val="13423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26689B"/>
    <w:multiLevelType w:val="singleLevel"/>
    <w:tmpl w:val="6D9A4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9DC3B85"/>
    <w:multiLevelType w:val="singleLevel"/>
    <w:tmpl w:val="9976E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CDE1959"/>
    <w:multiLevelType w:val="singleLevel"/>
    <w:tmpl w:val="75FCC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250AD1"/>
    <w:multiLevelType w:val="singleLevel"/>
    <w:tmpl w:val="F30E2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66146C"/>
    <w:multiLevelType w:val="singleLevel"/>
    <w:tmpl w:val="252C5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9E57E4"/>
    <w:multiLevelType w:val="singleLevel"/>
    <w:tmpl w:val="AF04B5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83274F"/>
    <w:multiLevelType w:val="singleLevel"/>
    <w:tmpl w:val="627A3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21"/>
  </w:num>
  <w:num w:numId="4">
    <w:abstractNumId w:val="7"/>
  </w:num>
  <w:num w:numId="5">
    <w:abstractNumId w:val="6"/>
  </w:num>
  <w:num w:numId="6">
    <w:abstractNumId w:val="24"/>
  </w:num>
  <w:num w:numId="7">
    <w:abstractNumId w:val="2"/>
  </w:num>
  <w:num w:numId="8">
    <w:abstractNumId w:val="17"/>
  </w:num>
  <w:num w:numId="9">
    <w:abstractNumId w:val="15"/>
  </w:num>
  <w:num w:numId="10">
    <w:abstractNumId w:val="13"/>
  </w:num>
  <w:num w:numId="11">
    <w:abstractNumId w:val="20"/>
  </w:num>
  <w:num w:numId="12">
    <w:abstractNumId w:val="16"/>
  </w:num>
  <w:num w:numId="13">
    <w:abstractNumId w:val="25"/>
  </w:num>
  <w:num w:numId="14">
    <w:abstractNumId w:val="23"/>
  </w:num>
  <w:num w:numId="15">
    <w:abstractNumId w:val="9"/>
  </w:num>
  <w:num w:numId="16">
    <w:abstractNumId w:val="26"/>
  </w:num>
  <w:num w:numId="17">
    <w:abstractNumId w:val="10"/>
  </w:num>
  <w:num w:numId="18">
    <w:abstractNumId w:val="14"/>
  </w:num>
  <w:num w:numId="19">
    <w:abstractNumId w:val="18"/>
  </w:num>
  <w:num w:numId="20">
    <w:abstractNumId w:val="19"/>
  </w:num>
  <w:num w:numId="21">
    <w:abstractNumId w:val="4"/>
  </w:num>
  <w:num w:numId="22">
    <w:abstractNumId w:val="5"/>
  </w:num>
  <w:num w:numId="23">
    <w:abstractNumId w:val="22"/>
  </w:num>
  <w:num w:numId="24">
    <w:abstractNumId w:val="0"/>
  </w:num>
  <w:num w:numId="25">
    <w:abstractNumId w:val="1"/>
  </w:num>
  <w:num w:numId="26">
    <w:abstractNumId w:val="3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2491E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2491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2491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2BD2CC-2884-4904-A363-E56E0748E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2026-09-18T02:16:00Z</dcterms:created>
  <dcterms:modified xsi:type="dcterms:W3CDTF">2026-09-18T02:16:00Z</dcterms:modified>
</cp:coreProperties>
</file>