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1A29706" w:rsidR="0049405C" w:rsidRPr="00C24D79" w:rsidRDefault="00597885" w:rsidP="00597885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597885">
              <w:rPr>
                <w:rFonts w:ascii="等线" w:eastAsia="等线" w:hAnsi="Times New Roman"/>
                <w:b/>
                <w:color w:val="000000"/>
                <w:sz w:val="48"/>
              </w:rPr>
              <w:t>RAY XU</w:t>
            </w:r>
            <w:bookmarkEnd w:id="0"/>
          </w:p>
          <w:p w14:paraId="706EB16B" w14:textId="0588C249" w:rsidR="0049405C" w:rsidRPr="00C24D79" w:rsidRDefault="00597885" w:rsidP="00597885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597885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597885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597885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6A921CCB" w:rsidR="0049405C" w:rsidRPr="00C24D79" w:rsidRDefault="00597885" w:rsidP="00597885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597885">
              <w:rPr>
                <w:rFonts w:ascii="等线" w:eastAsia="等线" w:hAnsi="Times New Roman"/>
                <w:color w:val="000000"/>
              </w:rPr>
              <w:t xml:space="preserve">+86 10 5769 5704 </w:t>
            </w:r>
            <w:bookmarkEnd w:id="3"/>
          </w:p>
          <w:p w14:paraId="4F910ACA" w14:textId="02679362" w:rsidR="0049405C" w:rsidRPr="00C24D79" w:rsidRDefault="00597885" w:rsidP="00597885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597885">
              <w:rPr>
                <w:rFonts w:ascii="等线" w:eastAsia="等线" w:hAnsi="Times New Roman"/>
                <w:color w:val="000000"/>
              </w:rPr>
              <w:t>ray.xu@fangdalaw.com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90305FB" w:rsidR="0049405C" w:rsidRPr="00C24D79" w:rsidRDefault="00597885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40947DF" wp14:editId="48375065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A8DBED6" w:rsidR="009465FB" w:rsidRPr="00C24D79" w:rsidRDefault="00597885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597885">
              <w:rPr>
                <w:rFonts w:ascii="等线" w:eastAsia="等线" w:hAnsi="Times New Roman"/>
                <w:color w:val="000000"/>
                <w:szCs w:val="21"/>
              </w:rPr>
              <w:t>MR. XU SPECIALIZES IN CORPORATE FINANCE, INCLUDING M&amp;A, PRIVATE EQUITY INVESTMENT, CAPITAL MARKETS, AND GENERAL COMMERCIAL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34EA4CE" w14:textId="77777777" w:rsidR="00597885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A2FEBBE" w14:textId="77777777" w:rsidR="00597885" w:rsidRDefault="00597885" w:rsidP="0059788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97885">
        <w:rPr>
          <w:rFonts w:ascii="等线" w:eastAsia="等线" w:hAnsi="等线"/>
          <w:b/>
          <w:sz w:val="24"/>
        </w:rPr>
        <w:t>REPRESENTATIVE MATTERS AND CASES</w:t>
      </w:r>
    </w:p>
    <w:p w14:paraId="6629B17B" w14:textId="77777777" w:rsidR="00597885" w:rsidRDefault="00597885" w:rsidP="00597885">
      <w:pPr>
        <w:pStyle w:val="af5"/>
        <w:spacing w:before="120"/>
        <w:rPr>
          <w:rFonts w:ascii="等线" w:eastAsia="等线" w:hAnsi="Times New Roman"/>
          <w:color w:val="000000"/>
        </w:rPr>
      </w:pPr>
      <w:r w:rsidRPr="00597885">
        <w:rPr>
          <w:rFonts w:ascii="等线" w:eastAsia="等线" w:hAnsi="Times New Roman"/>
          <w:color w:val="000000"/>
        </w:rPr>
        <w:t>M&amp;A AND PRIVATE EQUITY</w:t>
      </w:r>
    </w:p>
    <w:p w14:paraId="3D9CDD8F" w14:textId="77777777" w:rsidR="00597885" w:rsidRDefault="00597885" w:rsidP="00597885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7885">
        <w:rPr>
          <w:rFonts w:ascii="等线" w:eastAsia="等线" w:hAnsi="Times New Roman"/>
          <w:color w:val="000000"/>
        </w:rPr>
        <w:t>Represented Zoomlion in the sale of its environmental business</w:t>
      </w:r>
    </w:p>
    <w:p w14:paraId="07FA66C0" w14:textId="77777777" w:rsidR="00597885" w:rsidRDefault="00597885" w:rsidP="00597885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7885">
        <w:rPr>
          <w:rFonts w:ascii="等线" w:eastAsia="等线" w:hAnsi="Times New Roman"/>
          <w:color w:val="000000"/>
        </w:rPr>
        <w:t>Represented Primavera in various investment and exit deals, including investments in China and COSMX</w:t>
      </w:r>
    </w:p>
    <w:p w14:paraId="754C8298" w14:textId="77777777" w:rsidR="00597885" w:rsidRDefault="00597885" w:rsidP="00597885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7885">
        <w:rPr>
          <w:rFonts w:ascii="等线" w:eastAsia="等线" w:hAnsi="Times New Roman"/>
          <w:color w:val="000000"/>
        </w:rPr>
        <w:t>Represented KKR in its acquisition of NVC Lighting</w:t>
      </w:r>
    </w:p>
    <w:p w14:paraId="146BA172" w14:textId="77777777" w:rsidR="00597885" w:rsidRDefault="00597885" w:rsidP="00597885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7885">
        <w:rPr>
          <w:rFonts w:ascii="等线" w:eastAsia="等线" w:hAnsi="Times New Roman"/>
          <w:color w:val="000000"/>
        </w:rPr>
        <w:t>Represented CRHC in its acquisition of Dagong Credit</w:t>
      </w:r>
    </w:p>
    <w:p w14:paraId="3D7B3BD0" w14:textId="77777777" w:rsidR="00597885" w:rsidRDefault="00597885" w:rsidP="00597885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7885">
        <w:rPr>
          <w:rFonts w:ascii="等线" w:eastAsia="等线" w:hAnsi="Times New Roman"/>
          <w:color w:val="000000"/>
        </w:rPr>
        <w:t>Represented ChemChina in its acquisition of Syngenta</w:t>
      </w:r>
    </w:p>
    <w:p w14:paraId="4DB3297D" w14:textId="77777777" w:rsidR="00597885" w:rsidRDefault="00597885" w:rsidP="00597885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7885">
        <w:rPr>
          <w:rFonts w:ascii="等线" w:eastAsia="等线" w:hAnsi="Times New Roman"/>
          <w:color w:val="000000"/>
        </w:rPr>
        <w:t>Represented China IC Industry Investment Fund in its investment in various integrated circuit companies, including GOODIX</w:t>
      </w:r>
    </w:p>
    <w:p w14:paraId="58990AC4" w14:textId="77777777" w:rsidR="00597885" w:rsidRDefault="00597885" w:rsidP="00597885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7885">
        <w:rPr>
          <w:rFonts w:ascii="等线" w:eastAsia="等线" w:hAnsi="Times New Roman"/>
          <w:color w:val="000000"/>
        </w:rPr>
        <w:t>Represented Taikang Insurance in various exit deals and outbound investments, including investments in funds managed by Blackstone and GLP</w:t>
      </w:r>
    </w:p>
    <w:p w14:paraId="04CA023B" w14:textId="77777777" w:rsidR="00597885" w:rsidRDefault="00597885" w:rsidP="00597885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7885">
        <w:rPr>
          <w:rFonts w:ascii="等线" w:eastAsia="等线" w:hAnsi="Times New Roman"/>
          <w:color w:val="000000"/>
        </w:rPr>
        <w:t>Represented Ali Pictures in its acquisition of various theater chains</w:t>
      </w:r>
    </w:p>
    <w:p w14:paraId="5152B7C2" w14:textId="77777777" w:rsidR="00597885" w:rsidRDefault="00597885" w:rsidP="00597885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7885">
        <w:rPr>
          <w:rFonts w:ascii="等线" w:eastAsia="等线" w:hAnsi="Times New Roman"/>
          <w:color w:val="000000"/>
        </w:rPr>
        <w:t>Represented AEP in its acquisition of JML Food Co., Ltd. and Landseed hospital in Shanghai</w:t>
      </w:r>
    </w:p>
    <w:p w14:paraId="4CC037CC" w14:textId="77777777" w:rsidR="00597885" w:rsidRDefault="00597885" w:rsidP="00597885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7885">
        <w:rPr>
          <w:rFonts w:ascii="等线" w:eastAsia="等线" w:hAnsi="Times New Roman"/>
          <w:color w:val="000000"/>
        </w:rPr>
        <w:t>Represented CITIC Agriculture Fund in its investment in Molbreeding</w:t>
      </w:r>
    </w:p>
    <w:p w14:paraId="530ADED1" w14:textId="77777777" w:rsidR="00597885" w:rsidRDefault="00597885" w:rsidP="00597885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7885">
        <w:rPr>
          <w:rFonts w:ascii="等线" w:eastAsia="等线" w:hAnsi="Times New Roman"/>
          <w:color w:val="000000"/>
        </w:rPr>
        <w:t>Represented China Orient Asset Management Co., Ltd in various domestic equity investment deals</w:t>
      </w:r>
    </w:p>
    <w:p w14:paraId="1E954B09" w14:textId="77777777" w:rsidR="00597885" w:rsidRDefault="00597885" w:rsidP="00597885">
      <w:pPr>
        <w:pStyle w:val="af5"/>
        <w:spacing w:before="120"/>
        <w:rPr>
          <w:rFonts w:ascii="等线" w:eastAsia="等线" w:hAnsi="Times New Roman"/>
          <w:color w:val="000000"/>
        </w:rPr>
      </w:pPr>
      <w:r w:rsidRPr="00597885">
        <w:rPr>
          <w:rFonts w:ascii="等线" w:eastAsia="等线" w:hAnsi="Times New Roman"/>
          <w:color w:val="000000"/>
        </w:rPr>
        <w:t>CAPITAL MARKETS</w:t>
      </w:r>
    </w:p>
    <w:p w14:paraId="35BE1944" w14:textId="77777777" w:rsidR="00597885" w:rsidRDefault="00597885" w:rsidP="00597885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7885">
        <w:rPr>
          <w:rFonts w:ascii="等线" w:eastAsia="等线" w:hAnsi="Times New Roman"/>
          <w:color w:val="000000"/>
        </w:rPr>
        <w:t>Representing sponsor CICC in connection with GAC Group</w:t>
      </w:r>
      <w:r w:rsidRPr="00597885">
        <w:rPr>
          <w:rFonts w:ascii="等线" w:eastAsia="等线" w:hAnsi="Times New Roman"/>
          <w:color w:val="000000"/>
        </w:rPr>
        <w:t>’</w:t>
      </w:r>
      <w:r w:rsidRPr="00597885">
        <w:rPr>
          <w:rFonts w:ascii="等线" w:eastAsia="等线" w:hAnsi="Times New Roman"/>
          <w:color w:val="000000"/>
        </w:rPr>
        <w:t>s private placement of A shares</w:t>
      </w:r>
    </w:p>
    <w:p w14:paraId="6A1E9984" w14:textId="77777777" w:rsidR="00597885" w:rsidRDefault="00597885" w:rsidP="00597885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7885">
        <w:rPr>
          <w:rFonts w:ascii="等线" w:eastAsia="等线" w:hAnsi="Times New Roman"/>
          <w:color w:val="000000"/>
        </w:rPr>
        <w:t>Represented Ant Group in its IPO on the STAR Board and the Hong Kong Stock Exchange</w:t>
      </w:r>
    </w:p>
    <w:p w14:paraId="365A431C" w14:textId="77777777" w:rsidR="00597885" w:rsidRDefault="00597885" w:rsidP="00597885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7885">
        <w:rPr>
          <w:rFonts w:ascii="等线" w:eastAsia="等线" w:hAnsi="Times New Roman"/>
          <w:color w:val="000000"/>
        </w:rPr>
        <w:t>Represented Alibaba in its IPO on the HKEX</w:t>
      </w:r>
    </w:p>
    <w:p w14:paraId="16003FA1" w14:textId="77777777" w:rsidR="00597885" w:rsidRDefault="00597885" w:rsidP="00597885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7885">
        <w:rPr>
          <w:rFonts w:ascii="等线" w:eastAsia="等线" w:hAnsi="Times New Roman"/>
          <w:color w:val="000000"/>
        </w:rPr>
        <w:t>Represents Zoomlion in its private placement and various bond issuances</w:t>
      </w:r>
    </w:p>
    <w:p w14:paraId="30F11571" w14:textId="77777777" w:rsidR="00597885" w:rsidRDefault="00597885" w:rsidP="00597885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7885">
        <w:rPr>
          <w:rFonts w:ascii="等线" w:eastAsia="等线" w:hAnsi="Times New Roman"/>
          <w:color w:val="000000"/>
        </w:rPr>
        <w:t>Represented financial advisor CICC in connection with Minjiang Hydropower</w:t>
      </w:r>
      <w:r w:rsidRPr="00597885">
        <w:rPr>
          <w:rFonts w:ascii="等线" w:eastAsia="等线" w:hAnsi="Times New Roman"/>
          <w:color w:val="000000"/>
        </w:rPr>
        <w:t>’</w:t>
      </w:r>
      <w:r w:rsidRPr="00597885">
        <w:rPr>
          <w:rFonts w:ascii="等线" w:eastAsia="等线" w:hAnsi="Times New Roman"/>
          <w:color w:val="000000"/>
        </w:rPr>
        <w:t>s</w:t>
      </w:r>
      <w:r w:rsidRPr="00597885">
        <w:rPr>
          <w:rFonts w:ascii="等线" w:eastAsia="等线" w:hAnsi="Times New Roman"/>
          <w:color w:val="000000"/>
        </w:rPr>
        <w:t> </w:t>
      </w:r>
      <w:r w:rsidRPr="00597885">
        <w:rPr>
          <w:rFonts w:ascii="等线" w:eastAsia="等线" w:hAnsi="Times New Roman"/>
          <w:color w:val="000000"/>
        </w:rPr>
        <w:t xml:space="preserve"> </w:t>
      </w:r>
      <w:r w:rsidRPr="00597885">
        <w:rPr>
          <w:rFonts w:ascii="等线" w:eastAsia="等线" w:hAnsi="Times New Roman"/>
          <w:color w:val="000000"/>
        </w:rPr>
        <w:t>“</w:t>
      </w:r>
      <w:r w:rsidRPr="00597885">
        <w:rPr>
          <w:rFonts w:ascii="等线" w:eastAsia="等线" w:hAnsi="Times New Roman"/>
          <w:color w:val="000000"/>
        </w:rPr>
        <w:t>stock for asset</w:t>
      </w:r>
      <w:r w:rsidRPr="00597885">
        <w:rPr>
          <w:rFonts w:ascii="等线" w:eastAsia="等线" w:hAnsi="Times New Roman"/>
          <w:color w:val="000000"/>
        </w:rPr>
        <w:t>”</w:t>
      </w:r>
      <w:r w:rsidRPr="00597885">
        <w:rPr>
          <w:rFonts w:ascii="等线" w:eastAsia="等线" w:hAnsi="Times New Roman"/>
          <w:color w:val="000000"/>
        </w:rPr>
        <w:t xml:space="preserve"> deal with State Grid Information &amp; Telecommunication Group</w:t>
      </w:r>
    </w:p>
    <w:p w14:paraId="45B880D3" w14:textId="77777777" w:rsidR="00597885" w:rsidRDefault="00597885" w:rsidP="00597885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7885">
        <w:rPr>
          <w:rFonts w:ascii="等线" w:eastAsia="等线" w:hAnsi="Times New Roman"/>
          <w:color w:val="000000"/>
        </w:rPr>
        <w:t>Represented financial advisor CICC in connection with Yunan Baiyao</w:t>
      </w:r>
      <w:r w:rsidRPr="00597885">
        <w:rPr>
          <w:rFonts w:ascii="等线" w:eastAsia="等线" w:hAnsi="Times New Roman"/>
          <w:color w:val="000000"/>
        </w:rPr>
        <w:t>’</w:t>
      </w:r>
      <w:r w:rsidRPr="00597885">
        <w:rPr>
          <w:rFonts w:ascii="等线" w:eastAsia="等线" w:hAnsi="Times New Roman"/>
          <w:color w:val="000000"/>
        </w:rPr>
        <w:t>s reverse merger with its controlling shareholder</w:t>
      </w:r>
    </w:p>
    <w:p w14:paraId="7A5DAA18" w14:textId="77777777" w:rsidR="00597885" w:rsidRDefault="00597885" w:rsidP="00597885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7885">
        <w:rPr>
          <w:rFonts w:ascii="等线" w:eastAsia="等线" w:hAnsi="Times New Roman"/>
          <w:color w:val="000000"/>
        </w:rPr>
        <w:t xml:space="preserve">Represented Blue Sail Co., Ltd. in its acquisition of Biosensors Group through a </w:t>
      </w:r>
      <w:r w:rsidRPr="00597885">
        <w:rPr>
          <w:rFonts w:ascii="等线" w:eastAsia="等线" w:hAnsi="Times New Roman"/>
          <w:color w:val="000000"/>
        </w:rPr>
        <w:t>“</w:t>
      </w:r>
      <w:r w:rsidRPr="00597885">
        <w:rPr>
          <w:rFonts w:ascii="等线" w:eastAsia="等线" w:hAnsi="Times New Roman"/>
          <w:color w:val="000000"/>
        </w:rPr>
        <w:t>stock for asset</w:t>
      </w:r>
      <w:r w:rsidRPr="00597885">
        <w:rPr>
          <w:rFonts w:ascii="等线" w:eastAsia="等线" w:hAnsi="Times New Roman"/>
          <w:color w:val="000000"/>
        </w:rPr>
        <w:t>”</w:t>
      </w:r>
      <w:r w:rsidRPr="00597885">
        <w:rPr>
          <w:rFonts w:ascii="等线" w:eastAsia="等线" w:hAnsi="Times New Roman"/>
          <w:color w:val="000000"/>
        </w:rPr>
        <w:t xml:space="preserve"> deal</w:t>
      </w:r>
    </w:p>
    <w:p w14:paraId="5848A9B4" w14:textId="77777777" w:rsidR="00597885" w:rsidRDefault="00597885" w:rsidP="00597885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7885">
        <w:rPr>
          <w:rFonts w:ascii="等线" w:eastAsia="等线" w:hAnsi="Times New Roman"/>
          <w:color w:val="000000"/>
        </w:rPr>
        <w:t>Represented financial advisor CICC in connection with Shenhua Group</w:t>
      </w:r>
      <w:r w:rsidRPr="00597885">
        <w:rPr>
          <w:rFonts w:ascii="等线" w:eastAsia="等线" w:hAnsi="Times New Roman"/>
          <w:color w:val="000000"/>
        </w:rPr>
        <w:t>’</w:t>
      </w:r>
      <w:r w:rsidRPr="00597885">
        <w:rPr>
          <w:rFonts w:ascii="等线" w:eastAsia="等线" w:hAnsi="Times New Roman"/>
          <w:color w:val="000000"/>
        </w:rPr>
        <w:t>s merger with Guodian Group</w:t>
      </w:r>
    </w:p>
    <w:p w14:paraId="1732891A" w14:textId="77777777" w:rsidR="00597885" w:rsidRDefault="00597885" w:rsidP="00597885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7885">
        <w:rPr>
          <w:rFonts w:ascii="等线" w:eastAsia="等线" w:hAnsi="Times New Roman"/>
          <w:color w:val="000000"/>
        </w:rPr>
        <w:t>Represented Baosteel Co., Ltd. in its merger with Wuhan Steel Co., Ltd.</w:t>
      </w:r>
    </w:p>
    <w:p w14:paraId="299C7CED" w14:textId="77777777" w:rsidR="00597885" w:rsidRDefault="00597885" w:rsidP="00597885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7885">
        <w:rPr>
          <w:rFonts w:ascii="等线" w:eastAsia="等线" w:hAnsi="Times New Roman"/>
          <w:color w:val="000000"/>
        </w:rPr>
        <w:t>Represented Wuxi AppTec Co. Ltd. in its domestic IPO</w:t>
      </w:r>
    </w:p>
    <w:p w14:paraId="51A6A4A6" w14:textId="77777777" w:rsidR="00597885" w:rsidRDefault="00597885" w:rsidP="0059788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97885">
        <w:rPr>
          <w:rFonts w:ascii="等线" w:eastAsia="等线" w:hAnsi="等线"/>
          <w:b/>
          <w:sz w:val="24"/>
        </w:rPr>
        <w:t>Education</w:t>
      </w:r>
    </w:p>
    <w:p w14:paraId="0F0E3B59" w14:textId="77777777" w:rsidR="00597885" w:rsidRDefault="00597885" w:rsidP="00597885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7885">
        <w:rPr>
          <w:rFonts w:ascii="等线" w:eastAsia="等线" w:hAnsi="Times New Roman"/>
          <w:color w:val="000000"/>
        </w:rPr>
        <w:t>Peking University School of Law, LL.B. (2013) and LL.M. (2015)</w:t>
      </w:r>
    </w:p>
    <w:p w14:paraId="7B45F60A" w14:textId="77777777" w:rsidR="00597885" w:rsidRDefault="00597885" w:rsidP="00597885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7885">
        <w:rPr>
          <w:rFonts w:ascii="等线" w:eastAsia="等线" w:hAnsi="Times New Roman"/>
          <w:color w:val="000000"/>
        </w:rPr>
        <w:t>Peking University National School of Development, B.S. in Economics (2013)</w:t>
      </w:r>
    </w:p>
    <w:p w14:paraId="6B427E3A" w14:textId="77777777" w:rsidR="00597885" w:rsidRDefault="00597885" w:rsidP="0059788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97885">
        <w:rPr>
          <w:rFonts w:ascii="等线" w:eastAsia="等线" w:hAnsi="等线"/>
          <w:b/>
          <w:sz w:val="24"/>
        </w:rPr>
        <w:t>Professional Qualification</w:t>
      </w:r>
    </w:p>
    <w:p w14:paraId="11E8BB66" w14:textId="77777777" w:rsidR="00597885" w:rsidRDefault="00597885" w:rsidP="00597885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7885">
        <w:rPr>
          <w:rFonts w:ascii="等线" w:eastAsia="等线" w:hAnsi="Times New Roman"/>
          <w:color w:val="000000"/>
        </w:rPr>
        <w:t>Admitted to practice in the PRC</w:t>
      </w:r>
    </w:p>
    <w:p w14:paraId="43DA2878" w14:textId="77777777" w:rsidR="00597885" w:rsidRDefault="00597885" w:rsidP="0059788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97885">
        <w:rPr>
          <w:rFonts w:ascii="等线" w:eastAsia="等线" w:hAnsi="等线"/>
          <w:b/>
          <w:sz w:val="24"/>
        </w:rPr>
        <w:t>Professional Background</w:t>
      </w:r>
    </w:p>
    <w:p w14:paraId="5567FC3C" w14:textId="234F5951" w:rsidR="00686369" w:rsidRPr="00597885" w:rsidRDefault="00597885" w:rsidP="00597885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97885">
        <w:rPr>
          <w:rFonts w:ascii="等线" w:eastAsia="等线" w:hAnsi="Times New Roman"/>
          <w:color w:val="000000"/>
        </w:rPr>
        <w:t>Mr. Xu joined Fangda in 2015.</w:t>
      </w:r>
    </w:p>
    <w:sectPr w:rsidR="00686369" w:rsidRPr="00597885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323D3"/>
    <w:multiLevelType w:val="singleLevel"/>
    <w:tmpl w:val="4B80C5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6011117"/>
    <w:multiLevelType w:val="singleLevel"/>
    <w:tmpl w:val="EC0C1D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7F85642"/>
    <w:multiLevelType w:val="singleLevel"/>
    <w:tmpl w:val="DEA26D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C73439D"/>
    <w:multiLevelType w:val="singleLevel"/>
    <w:tmpl w:val="1F0EAD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EB31C3C"/>
    <w:multiLevelType w:val="singleLevel"/>
    <w:tmpl w:val="B1E29C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2783E89"/>
    <w:multiLevelType w:val="singleLevel"/>
    <w:tmpl w:val="8D02FC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B0248FB"/>
    <w:multiLevelType w:val="singleLevel"/>
    <w:tmpl w:val="6C42B4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CD55F71"/>
    <w:multiLevelType w:val="singleLevel"/>
    <w:tmpl w:val="53FAED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F5716DB"/>
    <w:multiLevelType w:val="singleLevel"/>
    <w:tmpl w:val="C2EA13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7F230CE"/>
    <w:multiLevelType w:val="singleLevel"/>
    <w:tmpl w:val="98CEB9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7B5879"/>
    <w:multiLevelType w:val="singleLevel"/>
    <w:tmpl w:val="033682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88F158C"/>
    <w:multiLevelType w:val="singleLevel"/>
    <w:tmpl w:val="BD82A1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4740380C"/>
    <w:multiLevelType w:val="singleLevel"/>
    <w:tmpl w:val="6C42B4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7D573C6"/>
    <w:multiLevelType w:val="singleLevel"/>
    <w:tmpl w:val="E68667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98D7B53"/>
    <w:multiLevelType w:val="singleLevel"/>
    <w:tmpl w:val="C90C8A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BAC43DE"/>
    <w:multiLevelType w:val="singleLevel"/>
    <w:tmpl w:val="0B286E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14B6F3A"/>
    <w:multiLevelType w:val="singleLevel"/>
    <w:tmpl w:val="5A9807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2F263BD"/>
    <w:multiLevelType w:val="singleLevel"/>
    <w:tmpl w:val="1B26E7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87F4C2B"/>
    <w:multiLevelType w:val="singleLevel"/>
    <w:tmpl w:val="16808E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9A310EC"/>
    <w:multiLevelType w:val="singleLevel"/>
    <w:tmpl w:val="3FB463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29077CA"/>
    <w:multiLevelType w:val="singleLevel"/>
    <w:tmpl w:val="857A40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54B4163"/>
    <w:multiLevelType w:val="singleLevel"/>
    <w:tmpl w:val="398C17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B4A3E07"/>
    <w:multiLevelType w:val="singleLevel"/>
    <w:tmpl w:val="F0D6C9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EFB6E85"/>
    <w:multiLevelType w:val="singleLevel"/>
    <w:tmpl w:val="6A98A2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12A34CF"/>
    <w:multiLevelType w:val="singleLevel"/>
    <w:tmpl w:val="11AA05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415175C"/>
    <w:multiLevelType w:val="singleLevel"/>
    <w:tmpl w:val="7F94C4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1"/>
  </w:num>
  <w:num w:numId="2">
    <w:abstractNumId w:val="13"/>
  </w:num>
  <w:num w:numId="3">
    <w:abstractNumId w:val="9"/>
  </w:num>
  <w:num w:numId="4">
    <w:abstractNumId w:val="23"/>
  </w:num>
  <w:num w:numId="5">
    <w:abstractNumId w:val="12"/>
  </w:num>
  <w:num w:numId="6">
    <w:abstractNumId w:val="4"/>
  </w:num>
  <w:num w:numId="7">
    <w:abstractNumId w:val="10"/>
  </w:num>
  <w:num w:numId="8">
    <w:abstractNumId w:val="5"/>
  </w:num>
  <w:num w:numId="9">
    <w:abstractNumId w:val="17"/>
  </w:num>
  <w:num w:numId="10">
    <w:abstractNumId w:val="27"/>
  </w:num>
  <w:num w:numId="11">
    <w:abstractNumId w:val="20"/>
  </w:num>
  <w:num w:numId="12">
    <w:abstractNumId w:val="7"/>
  </w:num>
  <w:num w:numId="13">
    <w:abstractNumId w:val="21"/>
  </w:num>
  <w:num w:numId="14">
    <w:abstractNumId w:val="25"/>
  </w:num>
  <w:num w:numId="15">
    <w:abstractNumId w:val="19"/>
  </w:num>
  <w:num w:numId="16">
    <w:abstractNumId w:val="8"/>
  </w:num>
  <w:num w:numId="17">
    <w:abstractNumId w:val="22"/>
  </w:num>
  <w:num w:numId="18">
    <w:abstractNumId w:val="16"/>
  </w:num>
  <w:num w:numId="19">
    <w:abstractNumId w:val="15"/>
  </w:num>
  <w:num w:numId="20">
    <w:abstractNumId w:val="26"/>
  </w:num>
  <w:num w:numId="21">
    <w:abstractNumId w:val="24"/>
  </w:num>
  <w:num w:numId="22">
    <w:abstractNumId w:val="2"/>
  </w:num>
  <w:num w:numId="23">
    <w:abstractNumId w:val="0"/>
  </w:num>
  <w:num w:numId="24">
    <w:abstractNumId w:val="3"/>
  </w:num>
  <w:num w:numId="25">
    <w:abstractNumId w:val="18"/>
  </w:num>
  <w:num w:numId="26">
    <w:abstractNumId w:val="1"/>
  </w:num>
  <w:num w:numId="27">
    <w:abstractNumId w:val="6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97885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597885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597885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B84E059-044C-4B06-8B3F-87B20A9C4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349</Words>
  <Characters>1992</Characters>
  <Application>Microsoft Office Word</Application>
  <DocSecurity>0</DocSecurity>
  <Lines>16</Lines>
  <Paragraphs>4</Paragraphs>
  <ScaleCrop>false</ScaleCrop>
  <Company/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2026-08-26T12:43:00Z</dcterms:created>
  <dcterms:modified xsi:type="dcterms:W3CDTF">2026-08-26T12:43:00Z</dcterms:modified>
</cp:coreProperties>
</file>