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7B6615B" w:rsidR="0049405C" w:rsidRPr="00C24D79" w:rsidRDefault="00CA0231" w:rsidP="00CA0231">
            <w:pPr>
              <w:spacing w:line="720" w:lineRule="auto"/>
              <w:rPr>
                <w:rFonts w:eastAsiaTheme="minorHAnsi"/>
                <w:color w:val="545551"/>
              </w:rPr>
            </w:pPr>
            <w:bookmarkStart w:id="0" w:name="xingming"/>
            <w:bookmarkStart w:id="1" w:name="_GoBack"/>
            <w:bookmarkEnd w:id="1"/>
            <w:r w:rsidRPr="00CA0231">
              <w:rPr>
                <w:rFonts w:ascii="等线" w:eastAsia="等线" w:hAnsi="Times New Roman"/>
                <w:b/>
                <w:color w:val="000000"/>
                <w:sz w:val="48"/>
              </w:rPr>
              <w:t>RAY BU</w:t>
            </w:r>
            <w:bookmarkEnd w:id="0"/>
          </w:p>
          <w:p w14:paraId="7153C8C6" w14:textId="77777777" w:rsidR="00CA0231" w:rsidRPr="00CA0231" w:rsidRDefault="00CA0231" w:rsidP="00CA0231">
            <w:pPr>
              <w:spacing w:line="360" w:lineRule="auto"/>
              <w:rPr>
                <w:rFonts w:ascii="等线" w:eastAsia="等线" w:hAnsi="Times New Roman"/>
                <w:b/>
                <w:bCs/>
                <w:color w:val="000000"/>
              </w:rPr>
            </w:pPr>
            <w:bookmarkStart w:id="2" w:name="didian"/>
            <w:r w:rsidRPr="00CA0231">
              <w:rPr>
                <w:rFonts w:ascii="等线" w:eastAsia="等线" w:hAnsi="Times New Roman"/>
                <w:b/>
                <w:bCs/>
                <w:color w:val="000000"/>
              </w:rPr>
              <w:t>Beijing</w:t>
            </w:r>
          </w:p>
          <w:p w14:paraId="706EB16B" w14:textId="364A3A82" w:rsidR="0049405C" w:rsidRPr="00C24D79" w:rsidRDefault="00CA0231" w:rsidP="00CA0231">
            <w:pPr>
              <w:spacing w:line="360" w:lineRule="auto"/>
              <w:rPr>
                <w:rFonts w:eastAsiaTheme="minorHAnsi"/>
                <w:b/>
                <w:bCs/>
                <w:color w:val="545551"/>
              </w:rPr>
            </w:pPr>
            <w:r w:rsidRPr="00CA0231">
              <w:rPr>
                <w:rFonts w:ascii="等线" w:eastAsia="等线" w:hAnsi="Times New Roman"/>
                <w:b/>
                <w:bCs/>
                <w:color w:val="000000"/>
              </w:rPr>
              <w:t>Registered Foreign Lawyer (New York, USA)</w:t>
            </w:r>
            <w:r w:rsidRPr="00CA0231">
              <w:rPr>
                <w:rFonts w:ascii="等线" w:eastAsia="等线" w:hAnsi="Times New Roman"/>
                <w:b/>
                <w:bCs/>
                <w:color w:val="000000"/>
              </w:rPr>
              <w:t>·</w:t>
            </w:r>
            <w:r w:rsidRPr="00CA0231">
              <w:rPr>
                <w:rFonts w:ascii="等线" w:eastAsia="等线" w:hAnsi="Times New Roman"/>
                <w:b/>
                <w:bCs/>
                <w:color w:val="000000"/>
              </w:rPr>
              <w:t>Hong Kong</w:t>
            </w:r>
            <w:bookmarkEnd w:id="2"/>
          </w:p>
          <w:p w14:paraId="6199424A" w14:textId="58B35A54" w:rsidR="0049405C" w:rsidRPr="00C24D79" w:rsidRDefault="00CA0231" w:rsidP="00CA0231">
            <w:pPr>
              <w:spacing w:line="360" w:lineRule="auto"/>
              <w:rPr>
                <w:rFonts w:eastAsiaTheme="minorHAnsi"/>
                <w:color w:val="545551"/>
              </w:rPr>
            </w:pPr>
            <w:bookmarkStart w:id="3" w:name="dianhua"/>
            <w:r w:rsidRPr="00CA0231">
              <w:rPr>
                <w:rFonts w:ascii="等线" w:eastAsia="等线" w:hAnsi="Times New Roman"/>
                <w:color w:val="000000"/>
              </w:rPr>
              <w:t xml:space="preserve">+86 10 5769 4266 / +86 17302100901 </w:t>
            </w:r>
            <w:bookmarkEnd w:id="3"/>
          </w:p>
          <w:p w14:paraId="4F910ACA" w14:textId="739D1ED5" w:rsidR="0049405C" w:rsidRPr="00C24D79" w:rsidRDefault="00CA0231" w:rsidP="00CA0231">
            <w:pPr>
              <w:spacing w:line="360" w:lineRule="auto"/>
              <w:rPr>
                <w:rFonts w:eastAsiaTheme="minorHAnsi"/>
                <w:color w:val="000000"/>
              </w:rPr>
            </w:pPr>
            <w:bookmarkStart w:id="4" w:name="youxiang"/>
            <w:r w:rsidRPr="00CA0231">
              <w:rPr>
                <w:rFonts w:ascii="等线" w:eastAsia="等线" w:hAnsi="Times New Roman"/>
                <w:color w:val="000000"/>
              </w:rPr>
              <w:t>rui.bu@fangdalaw.com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51725CB" w:rsidR="0049405C" w:rsidRPr="00C24D79" w:rsidRDefault="00CA023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411B768" wp14:editId="1A5AD5F7">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DB4B4CE" w:rsidR="009465FB" w:rsidRPr="00C24D79" w:rsidRDefault="00CA0231" w:rsidP="007177F3">
            <w:pPr>
              <w:rPr>
                <w:rFonts w:eastAsiaTheme="minorHAnsi"/>
                <w:color w:val="000000"/>
                <w:szCs w:val="21"/>
              </w:rPr>
            </w:pPr>
            <w:bookmarkStart w:id="6" w:name="zhiyelingyu"/>
            <w:r w:rsidRPr="00CA0231">
              <w:rPr>
                <w:rFonts w:ascii="等线" w:eastAsia="等线" w:hAnsi="Times New Roman"/>
                <w:color w:val="000000"/>
                <w:szCs w:val="21"/>
              </w:rPr>
              <w:t>MR. BU SPECIALIZES IN M&amp;A, PRIVATE EQUITY INVESTMENT, OUTBOUND INVESTMENT, FOREIGN DIRECT INVESTMENT AND GENERAL CORPORATE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A75C8B2" w14:textId="77777777" w:rsidR="00CA023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4DB03FF" w14:textId="77777777" w:rsidR="00CA0231" w:rsidRDefault="00CA0231" w:rsidP="00CA0231">
      <w:pPr>
        <w:pStyle w:val="af5"/>
        <w:spacing w:after="0" w:line="480" w:lineRule="auto"/>
        <w:rPr>
          <w:rFonts w:ascii="等线" w:eastAsia="等线" w:hAnsi="等线"/>
          <w:b/>
          <w:sz w:val="24"/>
        </w:rPr>
      </w:pPr>
      <w:r w:rsidRPr="00CA0231">
        <w:rPr>
          <w:rFonts w:ascii="等线" w:eastAsia="等线" w:hAnsi="等线"/>
          <w:b/>
          <w:sz w:val="24"/>
        </w:rPr>
        <w:t>REPRESENTATIVE MATTERS AND CASES</w:t>
      </w:r>
    </w:p>
    <w:p w14:paraId="1F87C310" w14:textId="77777777" w:rsidR="00CA0231" w:rsidRDefault="00CA0231" w:rsidP="00CA0231">
      <w:pPr>
        <w:pStyle w:val="af5"/>
        <w:spacing w:before="120"/>
        <w:rPr>
          <w:rFonts w:ascii="等线" w:eastAsia="等线" w:hAnsi="Times New Roman"/>
          <w:color w:val="000000"/>
        </w:rPr>
      </w:pPr>
      <w:r w:rsidRPr="00CA0231">
        <w:rPr>
          <w:rFonts w:ascii="等线" w:eastAsia="等线" w:hAnsi="Times New Roman"/>
          <w:color w:val="000000"/>
        </w:rPr>
        <w:t>M&amp;A</w:t>
      </w:r>
    </w:p>
    <w:p w14:paraId="7C354990" w14:textId="77777777" w:rsidR="00CA0231" w:rsidRDefault="00CA0231" w:rsidP="00CA0231">
      <w:pPr>
        <w:pStyle w:val="af5"/>
        <w:numPr>
          <w:ilvl w:val="0"/>
          <w:numId w:val="4"/>
        </w:numPr>
        <w:spacing w:before="120"/>
        <w:ind w:left="690" w:hanging="240"/>
        <w:rPr>
          <w:rFonts w:ascii="等线" w:eastAsia="等线" w:hAnsi="Times New Roman"/>
          <w:color w:val="000000"/>
        </w:rPr>
      </w:pPr>
      <w:r w:rsidRPr="00CA0231">
        <w:rPr>
          <w:rFonts w:ascii="等线" w:eastAsia="等线" w:hAnsi="Times New Roman"/>
          <w:color w:val="000000"/>
        </w:rPr>
        <w:t>Advising Kingsoft Cloud (NASDAQ: KC) in its strategic acquisition of controlling interest in Camelot, a China-based IT service and solution provider</w:t>
      </w:r>
    </w:p>
    <w:p w14:paraId="3628345D" w14:textId="77777777" w:rsidR="00CA0231" w:rsidRDefault="00CA0231" w:rsidP="00CA0231">
      <w:pPr>
        <w:pStyle w:val="af5"/>
        <w:numPr>
          <w:ilvl w:val="0"/>
          <w:numId w:val="5"/>
        </w:numPr>
        <w:spacing w:before="120"/>
        <w:ind w:left="690" w:hanging="240"/>
        <w:rPr>
          <w:rFonts w:ascii="等线" w:eastAsia="等线" w:hAnsi="Times New Roman"/>
          <w:color w:val="000000"/>
        </w:rPr>
      </w:pPr>
      <w:r w:rsidRPr="00CA0231">
        <w:rPr>
          <w:rFonts w:ascii="等线" w:eastAsia="等线" w:hAnsi="Times New Roman"/>
          <w:color w:val="000000"/>
        </w:rPr>
        <w:t>Advising State Grid in its acquisition of Sempra Energy</w:t>
      </w:r>
      <w:r w:rsidRPr="00CA0231">
        <w:rPr>
          <w:rFonts w:ascii="等线" w:eastAsia="等线" w:hAnsi="Times New Roman"/>
          <w:color w:val="000000"/>
        </w:rPr>
        <w:t>’</w:t>
      </w:r>
      <w:r w:rsidRPr="00CA0231">
        <w:rPr>
          <w:rFonts w:ascii="等线" w:eastAsia="等线" w:hAnsi="Times New Roman"/>
          <w:color w:val="000000"/>
        </w:rPr>
        <w:t>s electric businesses in Chile for US$2.23 billion</w:t>
      </w:r>
    </w:p>
    <w:p w14:paraId="0B04A7D0" w14:textId="77777777" w:rsidR="00CA0231" w:rsidRDefault="00CA0231" w:rsidP="00CA0231">
      <w:pPr>
        <w:pStyle w:val="af5"/>
        <w:numPr>
          <w:ilvl w:val="0"/>
          <w:numId w:val="6"/>
        </w:numPr>
        <w:spacing w:before="120"/>
        <w:ind w:left="690" w:hanging="240"/>
        <w:rPr>
          <w:rFonts w:ascii="等线" w:eastAsia="等线" w:hAnsi="Times New Roman"/>
          <w:color w:val="000000"/>
        </w:rPr>
      </w:pPr>
      <w:r w:rsidRPr="00CA0231">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594639C6" w14:textId="77777777" w:rsidR="00CA0231" w:rsidRDefault="00CA0231" w:rsidP="00CA0231">
      <w:pPr>
        <w:pStyle w:val="af5"/>
        <w:numPr>
          <w:ilvl w:val="0"/>
          <w:numId w:val="7"/>
        </w:numPr>
        <w:spacing w:before="120"/>
        <w:ind w:left="690" w:hanging="240"/>
        <w:rPr>
          <w:rFonts w:ascii="等线" w:eastAsia="等线" w:hAnsi="Times New Roman"/>
          <w:color w:val="000000"/>
        </w:rPr>
      </w:pPr>
      <w:r w:rsidRPr="00CA0231">
        <w:rPr>
          <w:rFonts w:ascii="等线" w:eastAsia="等线" w:hAnsi="Times New Roman"/>
          <w:color w:val="000000"/>
        </w:rPr>
        <w:t>Advising The Carlyle Group (as its PRC counsel) in its acquisition of Siemens AG's mechanical-drive unit Flender for more than 2 billion euros (US$2.4 billion)</w:t>
      </w:r>
    </w:p>
    <w:p w14:paraId="5ABFE0F5" w14:textId="77777777" w:rsidR="00CA0231" w:rsidRDefault="00CA0231" w:rsidP="00CA0231">
      <w:pPr>
        <w:pStyle w:val="af5"/>
        <w:numPr>
          <w:ilvl w:val="0"/>
          <w:numId w:val="8"/>
        </w:numPr>
        <w:spacing w:before="120"/>
        <w:ind w:left="690" w:hanging="240"/>
        <w:rPr>
          <w:rFonts w:ascii="等线" w:eastAsia="等线" w:hAnsi="Times New Roman"/>
          <w:color w:val="000000"/>
        </w:rPr>
      </w:pPr>
      <w:r w:rsidRPr="00CA0231">
        <w:rPr>
          <w:rFonts w:ascii="等线" w:eastAsia="等线" w:hAnsi="Times New Roman"/>
          <w:color w:val="000000"/>
        </w:rPr>
        <w:t xml:space="preserve">Advising The Carlyle Group (as its PRC counsel) in its acquisition of BASF's </w:t>
      </w:r>
      <w:r w:rsidRPr="00CA0231">
        <w:rPr>
          <w:rFonts w:ascii="等线" w:eastAsia="等线" w:hAnsi="Times New Roman"/>
          <w:color w:val="000000"/>
        </w:rPr>
        <w:t>’</w:t>
      </w:r>
      <w:r w:rsidRPr="00CA0231">
        <w:rPr>
          <w:rFonts w:ascii="等线" w:eastAsia="等线" w:hAnsi="Times New Roman"/>
          <w:color w:val="000000"/>
        </w:rPr>
        <w:t>s coatings business for 7.7 billion euros</w:t>
      </w:r>
    </w:p>
    <w:p w14:paraId="14130203" w14:textId="77777777" w:rsidR="00CA0231" w:rsidRDefault="00CA0231" w:rsidP="00CA0231">
      <w:pPr>
        <w:pStyle w:val="af5"/>
        <w:numPr>
          <w:ilvl w:val="0"/>
          <w:numId w:val="9"/>
        </w:numPr>
        <w:spacing w:before="120"/>
        <w:ind w:left="690" w:hanging="240"/>
        <w:rPr>
          <w:rFonts w:ascii="等线" w:eastAsia="等线" w:hAnsi="Times New Roman"/>
          <w:color w:val="000000"/>
        </w:rPr>
      </w:pPr>
      <w:r w:rsidRPr="00CA0231">
        <w:rPr>
          <w:rFonts w:ascii="等线" w:eastAsia="等线" w:hAnsi="Times New Roman"/>
          <w:color w:val="000000"/>
        </w:rPr>
        <w:t>Advising Alibaba Pictures Group in its acquisition of Damai for US$167 million</w:t>
      </w:r>
    </w:p>
    <w:p w14:paraId="08EE35AF" w14:textId="77777777" w:rsidR="00CA0231" w:rsidRDefault="00CA0231" w:rsidP="00CA0231">
      <w:pPr>
        <w:pStyle w:val="af5"/>
        <w:numPr>
          <w:ilvl w:val="0"/>
          <w:numId w:val="10"/>
        </w:numPr>
        <w:spacing w:before="120"/>
        <w:ind w:left="690" w:hanging="240"/>
        <w:rPr>
          <w:rFonts w:ascii="等线" w:eastAsia="等线" w:hAnsi="Times New Roman"/>
          <w:color w:val="000000"/>
        </w:rPr>
      </w:pPr>
      <w:r w:rsidRPr="00CA0231">
        <w:rPr>
          <w:rFonts w:ascii="等线" w:eastAsia="等线" w:hAnsi="Times New Roman"/>
          <w:color w:val="000000"/>
        </w:rPr>
        <w:t>Advising Templewater (as its PRC counsel) in its acquisition of Knight Auto Precision Engineering Pte Ltd, a Singapore headquartered precision tooling and solutions provider for the semiconductor industry</w:t>
      </w:r>
    </w:p>
    <w:p w14:paraId="6B6AE5F4" w14:textId="77777777" w:rsidR="00CA0231" w:rsidRDefault="00CA0231" w:rsidP="00CA0231">
      <w:pPr>
        <w:pStyle w:val="af5"/>
        <w:numPr>
          <w:ilvl w:val="0"/>
          <w:numId w:val="11"/>
        </w:numPr>
        <w:spacing w:before="120"/>
        <w:ind w:left="690" w:hanging="240"/>
        <w:rPr>
          <w:rFonts w:ascii="等线" w:eastAsia="等线" w:hAnsi="Times New Roman"/>
          <w:color w:val="000000"/>
        </w:rPr>
      </w:pPr>
      <w:r w:rsidRPr="00CA0231">
        <w:rPr>
          <w:rFonts w:ascii="等线" w:eastAsia="等线" w:hAnsi="Times New Roman"/>
          <w:color w:val="000000"/>
        </w:rPr>
        <w:t>Advising British Petroleum in its acquisition of several EV charging companies in China</w:t>
      </w:r>
    </w:p>
    <w:p w14:paraId="331030E9" w14:textId="77777777" w:rsidR="00CA0231" w:rsidRDefault="00CA0231" w:rsidP="00CA0231">
      <w:pPr>
        <w:pStyle w:val="af5"/>
        <w:numPr>
          <w:ilvl w:val="0"/>
          <w:numId w:val="12"/>
        </w:numPr>
        <w:spacing w:before="120"/>
        <w:ind w:left="690" w:hanging="240"/>
        <w:rPr>
          <w:rFonts w:ascii="等线" w:eastAsia="等线" w:hAnsi="Times New Roman"/>
          <w:color w:val="000000"/>
        </w:rPr>
      </w:pPr>
      <w:r w:rsidRPr="00CA0231">
        <w:rPr>
          <w:rFonts w:ascii="等线" w:eastAsia="等线" w:hAnsi="Times New Roman"/>
          <w:color w:val="000000"/>
        </w:rPr>
        <w:t>Advising the consortium of IDG Capital and I.T Group in the acquisition of 41% of the share capital of Acne Studios, a Swedish fashion house with signature retail stores across the world</w:t>
      </w:r>
    </w:p>
    <w:p w14:paraId="3F22B3FD" w14:textId="77777777" w:rsidR="00CA0231" w:rsidRDefault="00CA0231" w:rsidP="00CA0231">
      <w:pPr>
        <w:pStyle w:val="af5"/>
        <w:numPr>
          <w:ilvl w:val="0"/>
          <w:numId w:val="13"/>
        </w:numPr>
        <w:spacing w:before="120"/>
        <w:ind w:left="690" w:hanging="240"/>
        <w:rPr>
          <w:rFonts w:ascii="等线" w:eastAsia="等线" w:hAnsi="Times New Roman"/>
          <w:color w:val="000000"/>
        </w:rPr>
      </w:pPr>
      <w:r w:rsidRPr="00CA0231">
        <w:rPr>
          <w:rFonts w:ascii="等线" w:eastAsia="等线" w:hAnsi="Times New Roman"/>
          <w:color w:val="000000"/>
        </w:rPr>
        <w:t>Advising Sinopec on its acquisition of Chevron</w:t>
      </w:r>
      <w:r w:rsidRPr="00CA0231">
        <w:rPr>
          <w:rFonts w:ascii="等线" w:eastAsia="等线" w:hAnsi="Times New Roman"/>
          <w:color w:val="000000"/>
        </w:rPr>
        <w:t>’</w:t>
      </w:r>
      <w:r w:rsidRPr="00CA0231">
        <w:rPr>
          <w:rFonts w:ascii="等线" w:eastAsia="等线" w:hAnsi="Times New Roman"/>
          <w:color w:val="000000"/>
        </w:rPr>
        <w:t>s downstream business in South Africa and Botswana</w:t>
      </w:r>
    </w:p>
    <w:p w14:paraId="714FA3FC" w14:textId="77777777" w:rsidR="00CA0231" w:rsidRDefault="00CA0231" w:rsidP="00CA0231">
      <w:pPr>
        <w:pStyle w:val="af5"/>
        <w:spacing w:before="120"/>
        <w:rPr>
          <w:rFonts w:ascii="等线" w:eastAsia="等线" w:hAnsi="Times New Roman"/>
          <w:color w:val="000000"/>
        </w:rPr>
      </w:pPr>
      <w:r w:rsidRPr="00CA0231">
        <w:rPr>
          <w:rFonts w:ascii="等线" w:eastAsia="等线" w:hAnsi="Times New Roman"/>
          <w:color w:val="000000"/>
        </w:rPr>
        <w:t>Private Equity and Venture Capital</w:t>
      </w:r>
    </w:p>
    <w:p w14:paraId="6EFA3934" w14:textId="77777777" w:rsidR="00CA0231" w:rsidRDefault="00CA0231" w:rsidP="00CA0231">
      <w:pPr>
        <w:pStyle w:val="af5"/>
        <w:numPr>
          <w:ilvl w:val="0"/>
          <w:numId w:val="14"/>
        </w:numPr>
        <w:spacing w:before="120"/>
        <w:ind w:left="690" w:hanging="240"/>
        <w:rPr>
          <w:rFonts w:ascii="等线" w:eastAsia="等线" w:hAnsi="Times New Roman"/>
          <w:color w:val="000000"/>
        </w:rPr>
      </w:pPr>
      <w:r w:rsidRPr="00CA0231">
        <w:rPr>
          <w:rFonts w:ascii="等线" w:eastAsia="等线" w:hAnsi="Times New Roman"/>
          <w:color w:val="000000"/>
        </w:rPr>
        <w:t>Advising RA Capital, a Boston-based fund, in its equity investment in the Series C financing of Connect Biopharma, a Chinese clinical-stage biopharmaceutical company</w:t>
      </w:r>
    </w:p>
    <w:p w14:paraId="5B3A6801" w14:textId="77777777" w:rsidR="00CA0231" w:rsidRDefault="00CA0231" w:rsidP="00CA0231">
      <w:pPr>
        <w:pStyle w:val="af5"/>
        <w:numPr>
          <w:ilvl w:val="0"/>
          <w:numId w:val="15"/>
        </w:numPr>
        <w:spacing w:before="120"/>
        <w:ind w:left="690" w:hanging="240"/>
        <w:rPr>
          <w:rFonts w:ascii="等线" w:eastAsia="等线" w:hAnsi="Times New Roman"/>
          <w:color w:val="000000"/>
        </w:rPr>
      </w:pPr>
      <w:r w:rsidRPr="00CA0231">
        <w:rPr>
          <w:rFonts w:ascii="等线" w:eastAsia="等线" w:hAnsi="Times New Roman"/>
          <w:color w:val="000000"/>
        </w:rPr>
        <w:t>Advising Goldman Sachs in the Series A financing round of Suning Sports, the sports unit of Chinese retailer Suning Holdings Group</w:t>
      </w:r>
    </w:p>
    <w:p w14:paraId="0A90D062" w14:textId="77777777" w:rsidR="00CA0231" w:rsidRDefault="00CA0231" w:rsidP="00CA0231">
      <w:pPr>
        <w:pStyle w:val="af5"/>
        <w:numPr>
          <w:ilvl w:val="0"/>
          <w:numId w:val="16"/>
        </w:numPr>
        <w:spacing w:before="120"/>
        <w:ind w:left="690" w:hanging="240"/>
        <w:rPr>
          <w:rFonts w:ascii="等线" w:eastAsia="等线" w:hAnsi="Times New Roman"/>
          <w:color w:val="000000"/>
        </w:rPr>
      </w:pPr>
      <w:r w:rsidRPr="00CA0231">
        <w:rPr>
          <w:rFonts w:ascii="等线" w:eastAsia="等线" w:hAnsi="Times New Roman"/>
          <w:color w:val="000000"/>
        </w:rPr>
        <w:t>Advising The Carlyle Group in its investment, alongside Meinian Onehealth, in Adicon Holdings Limited, a China-based independent clinical laboratory (ICL) provider</w:t>
      </w:r>
    </w:p>
    <w:p w14:paraId="1FDD83EB" w14:textId="77777777" w:rsidR="00CA0231" w:rsidRDefault="00CA0231" w:rsidP="00CA0231">
      <w:pPr>
        <w:pStyle w:val="af5"/>
        <w:numPr>
          <w:ilvl w:val="0"/>
          <w:numId w:val="17"/>
        </w:numPr>
        <w:spacing w:before="120"/>
        <w:ind w:left="690" w:hanging="240"/>
        <w:rPr>
          <w:rFonts w:ascii="等线" w:eastAsia="等线" w:hAnsi="Times New Roman"/>
          <w:color w:val="000000"/>
        </w:rPr>
      </w:pPr>
      <w:r w:rsidRPr="00CA0231">
        <w:rPr>
          <w:rFonts w:ascii="等线" w:eastAsia="等线" w:hAnsi="Times New Roman"/>
          <w:color w:val="000000"/>
        </w:rPr>
        <w:t>Advising General Atlantic in its equity investments in (i) NetEase Cloud Music, a China-based online music platform; (ii) Ziroom, a China-based rental service provider; (iii) Today, Inc., a Chinese convenience store brand; and (iv) Dingdong Maicai, a China-based fresh food e-commerce platform</w:t>
      </w:r>
    </w:p>
    <w:p w14:paraId="0D8C1B72" w14:textId="77777777" w:rsidR="00CA0231" w:rsidRDefault="00CA0231" w:rsidP="00CA0231">
      <w:pPr>
        <w:pStyle w:val="af5"/>
        <w:numPr>
          <w:ilvl w:val="0"/>
          <w:numId w:val="18"/>
        </w:numPr>
        <w:spacing w:before="120"/>
        <w:ind w:left="690" w:hanging="240"/>
        <w:rPr>
          <w:rFonts w:ascii="等线" w:eastAsia="等线" w:hAnsi="Times New Roman"/>
          <w:color w:val="000000"/>
        </w:rPr>
      </w:pPr>
      <w:r w:rsidRPr="00CA0231">
        <w:rPr>
          <w:rFonts w:ascii="等线" w:eastAsia="等线" w:hAnsi="Times New Roman"/>
          <w:color w:val="000000"/>
        </w:rPr>
        <w:t>Advising Temasek in the Series B financing round of Gracell Biotechnologies, Inc., a China-based clinical-stage oncology-focused biotechnology company</w:t>
      </w:r>
    </w:p>
    <w:p w14:paraId="448F92B3" w14:textId="77777777" w:rsidR="00CA0231" w:rsidRDefault="00CA0231" w:rsidP="00CA0231">
      <w:pPr>
        <w:pStyle w:val="af5"/>
        <w:numPr>
          <w:ilvl w:val="0"/>
          <w:numId w:val="19"/>
        </w:numPr>
        <w:spacing w:before="120"/>
        <w:ind w:left="690" w:hanging="240"/>
        <w:rPr>
          <w:rFonts w:ascii="等线" w:eastAsia="等线" w:hAnsi="Times New Roman"/>
          <w:color w:val="000000"/>
        </w:rPr>
      </w:pPr>
      <w:r w:rsidRPr="00CA0231">
        <w:rPr>
          <w:rFonts w:ascii="等线" w:eastAsia="等线" w:hAnsi="Times New Roman"/>
          <w:color w:val="000000"/>
        </w:rPr>
        <w:t>Advising Alibaba in its equity investments in (i) Helijia, a leading online platform providing on-demand beauty services; and (ii) Energy Monster, a leading power bank rental company</w:t>
      </w:r>
    </w:p>
    <w:p w14:paraId="3B30ED0B" w14:textId="77777777" w:rsidR="00CA0231" w:rsidRDefault="00CA0231" w:rsidP="00CA0231">
      <w:pPr>
        <w:pStyle w:val="af5"/>
        <w:numPr>
          <w:ilvl w:val="0"/>
          <w:numId w:val="20"/>
        </w:numPr>
        <w:spacing w:before="120"/>
        <w:ind w:left="690" w:hanging="240"/>
        <w:rPr>
          <w:rFonts w:ascii="等线" w:eastAsia="等线" w:hAnsi="Times New Roman"/>
          <w:color w:val="000000"/>
        </w:rPr>
      </w:pPr>
      <w:r w:rsidRPr="00CA0231">
        <w:rPr>
          <w:rFonts w:ascii="等线" w:eastAsia="等线" w:hAnsi="Times New Roman"/>
          <w:color w:val="000000"/>
        </w:rPr>
        <w:t>Advising Nayuki, a well-known tea beverage brand in China, in its Series C financing involving investment from PAG</w:t>
      </w:r>
    </w:p>
    <w:p w14:paraId="040959C1" w14:textId="77777777" w:rsidR="00CA0231" w:rsidRDefault="00CA0231" w:rsidP="00CA0231">
      <w:pPr>
        <w:pStyle w:val="af5"/>
        <w:numPr>
          <w:ilvl w:val="0"/>
          <w:numId w:val="21"/>
        </w:numPr>
        <w:spacing w:before="120"/>
        <w:ind w:left="690" w:hanging="240"/>
        <w:rPr>
          <w:rFonts w:ascii="等线" w:eastAsia="等线" w:hAnsi="Times New Roman"/>
          <w:color w:val="000000"/>
        </w:rPr>
      </w:pPr>
      <w:r w:rsidRPr="00CA0231">
        <w:rPr>
          <w:rFonts w:ascii="等线" w:eastAsia="等线" w:hAnsi="Times New Roman"/>
          <w:color w:val="000000"/>
        </w:rPr>
        <w:t>Represented various venture capital and private equity funds, including IDG Capital, Boyu Capital, Peak XV, Bosch Ventures, EQT Partners, XJ Capital, Hillhouse Capital, Primavera Capital, Ab Initio Capital, Asia Investment Capital and Bank of China International, in equity investments</w:t>
      </w:r>
    </w:p>
    <w:p w14:paraId="261269D4" w14:textId="77777777" w:rsidR="00CA0231" w:rsidRDefault="00CA0231" w:rsidP="00CA0231">
      <w:pPr>
        <w:pStyle w:val="af5"/>
        <w:spacing w:before="120"/>
        <w:rPr>
          <w:rFonts w:ascii="等线" w:eastAsia="等线" w:hAnsi="Times New Roman"/>
          <w:color w:val="000000"/>
        </w:rPr>
      </w:pPr>
      <w:r w:rsidRPr="00CA0231">
        <w:rPr>
          <w:rFonts w:ascii="等线" w:eastAsia="等线" w:hAnsi="Times New Roman"/>
          <w:color w:val="000000"/>
        </w:rPr>
        <w:t>Outbound Investment</w:t>
      </w:r>
    </w:p>
    <w:p w14:paraId="1C29C084" w14:textId="77777777" w:rsidR="00CA0231" w:rsidRDefault="00CA0231" w:rsidP="00CA0231">
      <w:pPr>
        <w:pStyle w:val="af5"/>
        <w:numPr>
          <w:ilvl w:val="0"/>
          <w:numId w:val="22"/>
        </w:numPr>
        <w:spacing w:before="120"/>
        <w:ind w:left="690" w:hanging="240"/>
        <w:rPr>
          <w:rFonts w:ascii="等线" w:eastAsia="等线" w:hAnsi="Times New Roman"/>
          <w:color w:val="000000"/>
        </w:rPr>
      </w:pPr>
      <w:r w:rsidRPr="00CA0231">
        <w:rPr>
          <w:rFonts w:ascii="等线" w:eastAsia="等线" w:hAnsi="Times New Roman"/>
          <w:color w:val="000000"/>
        </w:rPr>
        <w:t>Advising Zhejiang Pangxin Electric Power Energy Co., Ltd. in acquiring shares of a Singapore-listed company</w:t>
      </w:r>
    </w:p>
    <w:p w14:paraId="5E8B925E" w14:textId="77777777" w:rsidR="00CA0231" w:rsidRDefault="00CA0231" w:rsidP="00CA0231">
      <w:pPr>
        <w:pStyle w:val="af5"/>
        <w:numPr>
          <w:ilvl w:val="0"/>
          <w:numId w:val="23"/>
        </w:numPr>
        <w:spacing w:before="120"/>
        <w:ind w:left="690" w:hanging="240"/>
        <w:rPr>
          <w:rFonts w:ascii="等线" w:eastAsia="等线" w:hAnsi="Times New Roman"/>
          <w:color w:val="000000"/>
        </w:rPr>
      </w:pPr>
      <w:r w:rsidRPr="00CA0231">
        <w:rPr>
          <w:rFonts w:ascii="等线" w:eastAsia="等线" w:hAnsi="Times New Roman"/>
          <w:color w:val="000000"/>
        </w:rPr>
        <w:t>Advising Moji Weather for the launch of its overseas version of the application</w:t>
      </w:r>
    </w:p>
    <w:p w14:paraId="49329A5B" w14:textId="77777777" w:rsidR="00CA0231" w:rsidRDefault="00CA0231" w:rsidP="00CA0231">
      <w:pPr>
        <w:pStyle w:val="af5"/>
        <w:numPr>
          <w:ilvl w:val="0"/>
          <w:numId w:val="24"/>
        </w:numPr>
        <w:spacing w:before="120"/>
        <w:ind w:left="690" w:hanging="240"/>
        <w:rPr>
          <w:rFonts w:ascii="等线" w:eastAsia="等线" w:hAnsi="Times New Roman"/>
          <w:color w:val="000000"/>
        </w:rPr>
      </w:pPr>
      <w:r w:rsidRPr="00CA0231">
        <w:rPr>
          <w:rFonts w:ascii="等线" w:eastAsia="等线" w:hAnsi="Times New Roman"/>
          <w:color w:val="000000"/>
        </w:rPr>
        <w:t>Advising the Chinese subsidiary of a Japanese companies in providing legal services for its energy project in Kazakhstan</w:t>
      </w:r>
    </w:p>
    <w:p w14:paraId="443E17BD" w14:textId="77777777" w:rsidR="00CA0231" w:rsidRDefault="00CA0231" w:rsidP="00CA0231">
      <w:pPr>
        <w:pStyle w:val="af5"/>
        <w:numPr>
          <w:ilvl w:val="0"/>
          <w:numId w:val="25"/>
        </w:numPr>
        <w:spacing w:before="120"/>
        <w:ind w:left="690" w:hanging="240"/>
        <w:rPr>
          <w:rFonts w:ascii="等线" w:eastAsia="等线" w:hAnsi="Times New Roman"/>
          <w:color w:val="000000"/>
        </w:rPr>
      </w:pPr>
      <w:r w:rsidRPr="00CA0231">
        <w:rPr>
          <w:rFonts w:ascii="等线" w:eastAsia="等线" w:hAnsi="Times New Roman"/>
          <w:color w:val="000000"/>
        </w:rPr>
        <w:t>Advising a Shanghai-based computing power provider in providing legal services for its investment project in Saudi Arabia</w:t>
      </w:r>
    </w:p>
    <w:p w14:paraId="30901F72" w14:textId="77777777" w:rsidR="00CA0231" w:rsidRDefault="00CA0231" w:rsidP="00CA0231">
      <w:pPr>
        <w:pStyle w:val="af5"/>
        <w:numPr>
          <w:ilvl w:val="0"/>
          <w:numId w:val="26"/>
        </w:numPr>
        <w:spacing w:before="120"/>
        <w:ind w:left="690" w:hanging="240"/>
        <w:rPr>
          <w:rFonts w:ascii="等线" w:eastAsia="等线" w:hAnsi="Times New Roman"/>
          <w:color w:val="000000"/>
        </w:rPr>
      </w:pPr>
      <w:r w:rsidRPr="00CA0231">
        <w:rPr>
          <w:rFonts w:ascii="等线" w:eastAsia="等线" w:hAnsi="Times New Roman"/>
          <w:color w:val="000000"/>
        </w:rPr>
        <w:t>Advising an A-share listed semiconductor equipment manufacturer in providing legal services for its investment project in Belgium</w:t>
      </w:r>
    </w:p>
    <w:p w14:paraId="2C69E812" w14:textId="77777777" w:rsidR="00CA0231" w:rsidRDefault="00CA0231" w:rsidP="00CA0231">
      <w:pPr>
        <w:pStyle w:val="af5"/>
        <w:numPr>
          <w:ilvl w:val="0"/>
          <w:numId w:val="27"/>
        </w:numPr>
        <w:spacing w:before="120"/>
        <w:ind w:left="690" w:hanging="240"/>
        <w:rPr>
          <w:rFonts w:ascii="等线" w:eastAsia="等线" w:hAnsi="Times New Roman"/>
          <w:color w:val="000000"/>
        </w:rPr>
      </w:pPr>
      <w:r w:rsidRPr="00CA0231">
        <w:rPr>
          <w:rFonts w:ascii="等线" w:eastAsia="等线" w:hAnsi="Times New Roman"/>
          <w:color w:val="000000"/>
        </w:rPr>
        <w:t>Advising an A-share listed lighting company in providing legal services for its greenfield investment project in Thailand</w:t>
      </w:r>
    </w:p>
    <w:p w14:paraId="00EFED10" w14:textId="77777777" w:rsidR="00CA0231" w:rsidRDefault="00CA0231" w:rsidP="00CA0231">
      <w:pPr>
        <w:pStyle w:val="af5"/>
        <w:numPr>
          <w:ilvl w:val="0"/>
          <w:numId w:val="28"/>
        </w:numPr>
        <w:spacing w:before="120"/>
        <w:ind w:left="690" w:hanging="240"/>
        <w:rPr>
          <w:rFonts w:ascii="等线" w:eastAsia="等线" w:hAnsi="Times New Roman"/>
          <w:color w:val="000000"/>
        </w:rPr>
      </w:pPr>
      <w:r w:rsidRPr="00CA0231">
        <w:rPr>
          <w:rFonts w:ascii="等线" w:eastAsia="等线" w:hAnsi="Times New Roman"/>
          <w:color w:val="000000"/>
        </w:rPr>
        <w:t>Advising an A-share listed automotive components manufacturer in providing legal services for its greenfield investment project in Thailand</w:t>
      </w:r>
    </w:p>
    <w:p w14:paraId="01D7ECCC" w14:textId="77777777" w:rsidR="00CA0231" w:rsidRDefault="00CA0231" w:rsidP="00CA0231">
      <w:pPr>
        <w:pStyle w:val="af5"/>
        <w:numPr>
          <w:ilvl w:val="0"/>
          <w:numId w:val="29"/>
        </w:numPr>
        <w:spacing w:before="120"/>
        <w:ind w:left="690" w:hanging="240"/>
        <w:rPr>
          <w:rFonts w:ascii="等线" w:eastAsia="等线" w:hAnsi="Times New Roman"/>
          <w:color w:val="000000"/>
        </w:rPr>
      </w:pPr>
      <w:r w:rsidRPr="00CA0231">
        <w:rPr>
          <w:rFonts w:ascii="等线" w:eastAsia="等线" w:hAnsi="Times New Roman"/>
          <w:color w:val="000000"/>
        </w:rPr>
        <w:t>Advising a municipal state-owned assets-controlled group in Zhejiang Province in designing and establishing its overall overseas equity structure</w:t>
      </w:r>
    </w:p>
    <w:p w14:paraId="125218CE" w14:textId="77777777" w:rsidR="00CA0231" w:rsidRDefault="00CA0231" w:rsidP="00CA0231">
      <w:pPr>
        <w:pStyle w:val="af5"/>
        <w:numPr>
          <w:ilvl w:val="0"/>
          <w:numId w:val="30"/>
        </w:numPr>
        <w:spacing w:before="120"/>
        <w:ind w:left="690" w:hanging="240"/>
        <w:rPr>
          <w:rFonts w:ascii="等线" w:eastAsia="等线" w:hAnsi="Times New Roman"/>
          <w:color w:val="000000"/>
        </w:rPr>
      </w:pPr>
      <w:r w:rsidRPr="00CA0231">
        <w:rPr>
          <w:rFonts w:ascii="等线" w:eastAsia="等线" w:hAnsi="Times New Roman"/>
          <w:color w:val="000000"/>
        </w:rPr>
        <w:t>Advising an A-share listed plastic pipe manufacturer in providing legal services for its greenfield investment project in Vietnam</w:t>
      </w:r>
    </w:p>
    <w:p w14:paraId="14BAC27D" w14:textId="77777777" w:rsidR="00CA0231" w:rsidRDefault="00CA0231" w:rsidP="00CA0231">
      <w:pPr>
        <w:pStyle w:val="af5"/>
        <w:numPr>
          <w:ilvl w:val="0"/>
          <w:numId w:val="31"/>
        </w:numPr>
        <w:spacing w:before="120"/>
        <w:ind w:left="690" w:hanging="240"/>
        <w:rPr>
          <w:rFonts w:ascii="等线" w:eastAsia="等线" w:hAnsi="Times New Roman"/>
          <w:color w:val="000000"/>
        </w:rPr>
      </w:pPr>
      <w:r w:rsidRPr="00CA0231">
        <w:rPr>
          <w:rFonts w:ascii="等线" w:eastAsia="等线" w:hAnsi="Times New Roman"/>
          <w:color w:val="000000"/>
        </w:rPr>
        <w:t>Advising an A-share listed plastic tableware and biodegradable materials company in providing legal services for its greenfield investment project in Indonesia</w:t>
      </w:r>
    </w:p>
    <w:p w14:paraId="5EE2AD3F" w14:textId="77777777" w:rsidR="00CA0231" w:rsidRDefault="00CA0231" w:rsidP="00CA0231">
      <w:pPr>
        <w:pStyle w:val="af5"/>
        <w:numPr>
          <w:ilvl w:val="0"/>
          <w:numId w:val="32"/>
        </w:numPr>
        <w:spacing w:before="120"/>
        <w:ind w:left="690" w:hanging="240"/>
        <w:rPr>
          <w:rFonts w:ascii="等线" w:eastAsia="等线" w:hAnsi="Times New Roman"/>
          <w:color w:val="000000"/>
        </w:rPr>
      </w:pPr>
      <w:r w:rsidRPr="00CA0231">
        <w:rPr>
          <w:rFonts w:ascii="等线" w:eastAsia="等线" w:hAnsi="Times New Roman"/>
          <w:color w:val="000000"/>
        </w:rPr>
        <w:t>Advising a Chinese solar photovoltaic company in providing legal services for its investment project in Germany</w:t>
      </w:r>
    </w:p>
    <w:p w14:paraId="79169F3A" w14:textId="77777777" w:rsidR="00CA0231" w:rsidRDefault="00CA0231" w:rsidP="00CA0231">
      <w:pPr>
        <w:pStyle w:val="af5"/>
        <w:numPr>
          <w:ilvl w:val="0"/>
          <w:numId w:val="33"/>
        </w:numPr>
        <w:spacing w:before="120"/>
        <w:ind w:left="690" w:hanging="240"/>
        <w:rPr>
          <w:rFonts w:ascii="等线" w:eastAsia="等线" w:hAnsi="Times New Roman"/>
          <w:color w:val="000000"/>
        </w:rPr>
      </w:pPr>
      <w:r w:rsidRPr="00CA0231">
        <w:rPr>
          <w:rFonts w:ascii="等线" w:eastAsia="等线" w:hAnsi="Times New Roman"/>
          <w:color w:val="000000"/>
        </w:rPr>
        <w:t>Advising a domestic electromechanical company in providing legal services for its greenfield investment project in Cambodia</w:t>
      </w:r>
    </w:p>
    <w:p w14:paraId="02B5438F" w14:textId="77777777" w:rsidR="00CA0231" w:rsidRDefault="00CA0231" w:rsidP="00CA0231">
      <w:pPr>
        <w:pStyle w:val="af5"/>
        <w:spacing w:before="120"/>
        <w:rPr>
          <w:rFonts w:ascii="等线" w:eastAsia="等线" w:hAnsi="Times New Roman"/>
          <w:color w:val="000000"/>
        </w:rPr>
      </w:pPr>
      <w:r w:rsidRPr="00CA0231">
        <w:rPr>
          <w:rFonts w:ascii="等线" w:eastAsia="等线" w:hAnsi="Times New Roman"/>
          <w:color w:val="000000"/>
        </w:rPr>
        <w:t>Joint Venture &amp; Business Cooperation</w:t>
      </w:r>
    </w:p>
    <w:p w14:paraId="11F12FFD" w14:textId="77777777" w:rsidR="00CA0231" w:rsidRDefault="00CA0231" w:rsidP="00CA0231">
      <w:pPr>
        <w:pStyle w:val="af5"/>
        <w:numPr>
          <w:ilvl w:val="0"/>
          <w:numId w:val="34"/>
        </w:numPr>
        <w:spacing w:before="120"/>
        <w:ind w:left="690" w:hanging="240"/>
        <w:rPr>
          <w:rFonts w:ascii="等线" w:eastAsia="等线" w:hAnsi="Times New Roman"/>
          <w:color w:val="000000"/>
        </w:rPr>
      </w:pPr>
      <w:r w:rsidRPr="00CA0231">
        <w:rPr>
          <w:rFonts w:ascii="等线" w:eastAsia="等线" w:hAnsi="Times New Roman"/>
          <w:color w:val="000000"/>
        </w:rPr>
        <w:t>Advising Ant Group in its business cooperations with NBA in relation to blockchain technology, NFT and privacy computing, etc.</w:t>
      </w:r>
    </w:p>
    <w:p w14:paraId="2728C952" w14:textId="77777777" w:rsidR="00CA0231" w:rsidRDefault="00CA0231" w:rsidP="00CA0231">
      <w:pPr>
        <w:pStyle w:val="af5"/>
        <w:spacing w:before="120"/>
        <w:rPr>
          <w:rFonts w:ascii="等线" w:eastAsia="等线" w:hAnsi="Times New Roman"/>
          <w:color w:val="000000"/>
        </w:rPr>
      </w:pPr>
      <w:r w:rsidRPr="00CA0231">
        <w:rPr>
          <w:rFonts w:ascii="等线" w:eastAsia="等线" w:hAnsi="Times New Roman"/>
          <w:color w:val="000000"/>
        </w:rPr>
        <w:t>Capital Market</w:t>
      </w:r>
    </w:p>
    <w:p w14:paraId="34E68881" w14:textId="77777777" w:rsidR="00CA0231" w:rsidRDefault="00CA0231" w:rsidP="00CA0231">
      <w:pPr>
        <w:pStyle w:val="af5"/>
        <w:numPr>
          <w:ilvl w:val="0"/>
          <w:numId w:val="35"/>
        </w:numPr>
        <w:spacing w:before="120"/>
        <w:ind w:left="690" w:hanging="240"/>
        <w:rPr>
          <w:rFonts w:ascii="等线" w:eastAsia="等线" w:hAnsi="Times New Roman"/>
          <w:color w:val="000000"/>
        </w:rPr>
      </w:pPr>
      <w:r w:rsidRPr="00CA0231">
        <w:rPr>
          <w:rFonts w:ascii="等线" w:eastAsia="等线" w:hAnsi="Times New Roman"/>
          <w:color w:val="000000"/>
        </w:rPr>
        <w:t>Advising Wanda Sports Group as issuer</w:t>
      </w:r>
      <w:r w:rsidRPr="00CA0231">
        <w:rPr>
          <w:rFonts w:ascii="等线" w:eastAsia="等线" w:hAnsi="Times New Roman"/>
          <w:color w:val="000000"/>
        </w:rPr>
        <w:t>’</w:t>
      </w:r>
      <w:r w:rsidRPr="00CA0231">
        <w:rPr>
          <w:rFonts w:ascii="等线" w:eastAsia="等线" w:hAnsi="Times New Roman"/>
          <w:color w:val="000000"/>
        </w:rPr>
        <w:t>s counsel in connection with its IPO and listing, a restructuring of its operations prior to the offering and a financing transaction</w:t>
      </w:r>
    </w:p>
    <w:p w14:paraId="092F3ADE" w14:textId="77777777" w:rsidR="00CA0231" w:rsidRDefault="00CA0231" w:rsidP="00CA0231">
      <w:pPr>
        <w:pStyle w:val="af5"/>
        <w:spacing w:after="0" w:line="480" w:lineRule="auto"/>
        <w:rPr>
          <w:rFonts w:ascii="等线" w:eastAsia="等线" w:hAnsi="等线"/>
          <w:b/>
          <w:sz w:val="24"/>
        </w:rPr>
      </w:pPr>
      <w:r w:rsidRPr="00CA0231">
        <w:rPr>
          <w:rFonts w:ascii="等线" w:eastAsia="等线" w:hAnsi="等线"/>
          <w:b/>
          <w:sz w:val="24"/>
        </w:rPr>
        <w:t>Education</w:t>
      </w:r>
    </w:p>
    <w:p w14:paraId="0A07AB76" w14:textId="77777777" w:rsidR="00CA0231" w:rsidRDefault="00CA0231" w:rsidP="00CA0231">
      <w:pPr>
        <w:pStyle w:val="af5"/>
        <w:numPr>
          <w:ilvl w:val="0"/>
          <w:numId w:val="36"/>
        </w:numPr>
        <w:spacing w:before="120"/>
        <w:ind w:left="690" w:hanging="240"/>
        <w:rPr>
          <w:rFonts w:ascii="等线" w:eastAsia="等线" w:hAnsi="Times New Roman"/>
          <w:color w:val="000000"/>
        </w:rPr>
      </w:pPr>
      <w:r w:rsidRPr="00CA0231">
        <w:rPr>
          <w:rFonts w:ascii="等线" w:eastAsia="等线" w:hAnsi="Times New Roman"/>
          <w:color w:val="000000"/>
        </w:rPr>
        <w:t>University of Georgia School of Law, J.D.</w:t>
      </w:r>
    </w:p>
    <w:p w14:paraId="1728909C" w14:textId="77777777" w:rsidR="00CA0231" w:rsidRDefault="00CA0231" w:rsidP="00CA0231">
      <w:pPr>
        <w:pStyle w:val="af5"/>
        <w:numPr>
          <w:ilvl w:val="0"/>
          <w:numId w:val="37"/>
        </w:numPr>
        <w:spacing w:before="120"/>
        <w:ind w:left="690" w:hanging="240"/>
        <w:rPr>
          <w:rFonts w:ascii="等线" w:eastAsia="等线" w:hAnsi="Times New Roman"/>
          <w:color w:val="000000"/>
        </w:rPr>
      </w:pPr>
      <w:r w:rsidRPr="00CA0231">
        <w:rPr>
          <w:rFonts w:ascii="等线" w:eastAsia="等线" w:hAnsi="Times New Roman"/>
          <w:color w:val="000000"/>
        </w:rPr>
        <w:t>East China University of Political Science and Law, LL.B.</w:t>
      </w:r>
    </w:p>
    <w:p w14:paraId="20D17420" w14:textId="77777777" w:rsidR="00CA0231" w:rsidRDefault="00CA0231" w:rsidP="00CA0231">
      <w:pPr>
        <w:pStyle w:val="af5"/>
        <w:spacing w:after="0" w:line="480" w:lineRule="auto"/>
        <w:rPr>
          <w:rFonts w:ascii="等线" w:eastAsia="等线" w:hAnsi="等线"/>
          <w:b/>
          <w:sz w:val="24"/>
        </w:rPr>
      </w:pPr>
      <w:r w:rsidRPr="00CA0231">
        <w:rPr>
          <w:rFonts w:ascii="等线" w:eastAsia="等线" w:hAnsi="等线"/>
          <w:b/>
          <w:sz w:val="24"/>
        </w:rPr>
        <w:t>Professional Qualification</w:t>
      </w:r>
    </w:p>
    <w:p w14:paraId="34E25503" w14:textId="77777777" w:rsidR="00CA0231" w:rsidRDefault="00CA0231" w:rsidP="00CA0231">
      <w:pPr>
        <w:pStyle w:val="af5"/>
        <w:numPr>
          <w:ilvl w:val="0"/>
          <w:numId w:val="38"/>
        </w:numPr>
        <w:spacing w:before="120"/>
        <w:ind w:left="690" w:hanging="240"/>
        <w:rPr>
          <w:rFonts w:ascii="等线" w:eastAsia="等线" w:hAnsi="Times New Roman"/>
          <w:color w:val="000000"/>
        </w:rPr>
      </w:pPr>
      <w:r w:rsidRPr="00CA0231">
        <w:rPr>
          <w:rFonts w:ascii="等线" w:eastAsia="等线" w:hAnsi="Times New Roman"/>
          <w:color w:val="000000"/>
        </w:rPr>
        <w:t>Admitted to practice in New York</w:t>
      </w:r>
    </w:p>
    <w:p w14:paraId="338D6F29" w14:textId="77777777" w:rsidR="00CA0231" w:rsidRDefault="00CA0231" w:rsidP="00CA0231">
      <w:pPr>
        <w:pStyle w:val="af5"/>
        <w:numPr>
          <w:ilvl w:val="0"/>
          <w:numId w:val="39"/>
        </w:numPr>
        <w:spacing w:before="120"/>
        <w:ind w:left="690" w:hanging="240"/>
        <w:rPr>
          <w:rFonts w:ascii="等线" w:eastAsia="等线" w:hAnsi="Times New Roman"/>
          <w:color w:val="000000"/>
        </w:rPr>
      </w:pPr>
      <w:r w:rsidRPr="00CA0231">
        <w:rPr>
          <w:rFonts w:ascii="等线" w:eastAsia="等线" w:hAnsi="Times New Roman"/>
          <w:color w:val="000000"/>
        </w:rPr>
        <w:t>Admitted to practice in New Jersey</w:t>
      </w:r>
    </w:p>
    <w:p w14:paraId="23E2E490" w14:textId="77777777" w:rsidR="00CA0231" w:rsidRDefault="00CA0231" w:rsidP="00CA0231">
      <w:pPr>
        <w:pStyle w:val="af5"/>
        <w:numPr>
          <w:ilvl w:val="0"/>
          <w:numId w:val="40"/>
        </w:numPr>
        <w:spacing w:before="120"/>
        <w:ind w:left="690" w:hanging="240"/>
        <w:rPr>
          <w:rFonts w:ascii="等线" w:eastAsia="等线" w:hAnsi="Times New Roman"/>
          <w:color w:val="000000"/>
        </w:rPr>
      </w:pPr>
      <w:r w:rsidRPr="00CA0231">
        <w:rPr>
          <w:rFonts w:ascii="等线" w:eastAsia="等线" w:hAnsi="Times New Roman"/>
          <w:color w:val="000000"/>
        </w:rPr>
        <w:t>Admitted to practice in Georgia (inactive)</w:t>
      </w:r>
    </w:p>
    <w:p w14:paraId="3F47E83D" w14:textId="77777777" w:rsidR="00CA0231" w:rsidRDefault="00CA0231" w:rsidP="00CA0231">
      <w:pPr>
        <w:pStyle w:val="af5"/>
        <w:numPr>
          <w:ilvl w:val="0"/>
          <w:numId w:val="41"/>
        </w:numPr>
        <w:spacing w:before="120"/>
        <w:ind w:left="690" w:hanging="240"/>
        <w:rPr>
          <w:rFonts w:ascii="等线" w:eastAsia="等线" w:hAnsi="Times New Roman"/>
          <w:color w:val="000000"/>
        </w:rPr>
      </w:pPr>
      <w:r w:rsidRPr="00CA0231">
        <w:rPr>
          <w:rFonts w:ascii="等线" w:eastAsia="等线" w:hAnsi="Times New Roman"/>
          <w:color w:val="000000"/>
        </w:rPr>
        <w:t>Registered Foreign Lawyer in Hong Kong SAR</w:t>
      </w:r>
    </w:p>
    <w:p w14:paraId="0DA8C2D6" w14:textId="77777777" w:rsidR="00CA0231" w:rsidRDefault="00CA0231" w:rsidP="00CA0231">
      <w:pPr>
        <w:pStyle w:val="af5"/>
        <w:spacing w:after="0" w:line="480" w:lineRule="auto"/>
        <w:rPr>
          <w:rFonts w:ascii="等线" w:eastAsia="等线" w:hAnsi="等线"/>
          <w:b/>
          <w:sz w:val="24"/>
        </w:rPr>
      </w:pPr>
      <w:r w:rsidRPr="00CA0231">
        <w:rPr>
          <w:rFonts w:ascii="等线" w:eastAsia="等线" w:hAnsi="等线"/>
          <w:b/>
          <w:sz w:val="24"/>
        </w:rPr>
        <w:t>Work Language</w:t>
      </w:r>
    </w:p>
    <w:p w14:paraId="730C4D1E" w14:textId="77777777" w:rsidR="00CA0231" w:rsidRDefault="00CA0231" w:rsidP="00CA0231">
      <w:pPr>
        <w:pStyle w:val="af5"/>
        <w:numPr>
          <w:ilvl w:val="0"/>
          <w:numId w:val="42"/>
        </w:numPr>
        <w:spacing w:before="120"/>
        <w:ind w:left="690" w:hanging="240"/>
        <w:rPr>
          <w:rFonts w:ascii="等线" w:eastAsia="等线" w:hAnsi="Times New Roman"/>
          <w:color w:val="000000"/>
        </w:rPr>
      </w:pPr>
      <w:r w:rsidRPr="00CA0231">
        <w:rPr>
          <w:rFonts w:ascii="等线" w:eastAsia="等线" w:hAnsi="Times New Roman"/>
          <w:color w:val="000000"/>
        </w:rPr>
        <w:t>English</w:t>
      </w:r>
    </w:p>
    <w:p w14:paraId="7CD6DE6F" w14:textId="77777777" w:rsidR="00CA0231" w:rsidRDefault="00CA0231" w:rsidP="00CA0231">
      <w:pPr>
        <w:pStyle w:val="af5"/>
        <w:numPr>
          <w:ilvl w:val="0"/>
          <w:numId w:val="43"/>
        </w:numPr>
        <w:spacing w:before="120"/>
        <w:ind w:left="690" w:hanging="240"/>
        <w:rPr>
          <w:rFonts w:ascii="等线" w:eastAsia="等线" w:hAnsi="Times New Roman"/>
          <w:color w:val="000000"/>
        </w:rPr>
      </w:pPr>
      <w:r w:rsidRPr="00CA0231">
        <w:rPr>
          <w:rFonts w:ascii="等线" w:eastAsia="等线" w:hAnsi="Times New Roman"/>
          <w:color w:val="000000"/>
        </w:rPr>
        <w:t>Mandarin</w:t>
      </w:r>
    </w:p>
    <w:p w14:paraId="36AF0B67" w14:textId="77777777" w:rsidR="00CA0231" w:rsidRDefault="00CA0231" w:rsidP="00CA0231">
      <w:pPr>
        <w:pStyle w:val="af5"/>
        <w:spacing w:after="0" w:line="480" w:lineRule="auto"/>
        <w:rPr>
          <w:rFonts w:ascii="等线" w:eastAsia="等线" w:hAnsi="等线"/>
          <w:b/>
          <w:sz w:val="24"/>
        </w:rPr>
      </w:pPr>
      <w:r w:rsidRPr="00CA0231">
        <w:rPr>
          <w:rFonts w:ascii="等线" w:eastAsia="等线" w:hAnsi="等线"/>
          <w:b/>
          <w:sz w:val="24"/>
        </w:rPr>
        <w:t>Professional Background</w:t>
      </w:r>
    </w:p>
    <w:p w14:paraId="1FDDFF76" w14:textId="77777777" w:rsidR="00CA0231" w:rsidRDefault="00CA0231" w:rsidP="00CA0231">
      <w:pPr>
        <w:pStyle w:val="af5"/>
        <w:numPr>
          <w:ilvl w:val="0"/>
          <w:numId w:val="44"/>
        </w:numPr>
        <w:spacing w:before="120"/>
        <w:ind w:left="690" w:hanging="240"/>
        <w:rPr>
          <w:rFonts w:ascii="等线" w:eastAsia="等线" w:hAnsi="Times New Roman"/>
          <w:color w:val="000000"/>
        </w:rPr>
      </w:pPr>
      <w:r w:rsidRPr="00CA0231">
        <w:rPr>
          <w:rFonts w:ascii="等线" w:eastAsia="等线" w:hAnsi="Times New Roman"/>
          <w:color w:val="000000"/>
        </w:rPr>
        <w:t>Before joining Fangda Partners, Mr. Bu worked at Winston &amp; Strawn LLP</w:t>
      </w:r>
      <w:r w:rsidRPr="00CA0231">
        <w:rPr>
          <w:rFonts w:ascii="等线" w:eastAsia="等线" w:hAnsi="Times New Roman"/>
          <w:color w:val="000000"/>
        </w:rPr>
        <w:t>’</w:t>
      </w:r>
      <w:r w:rsidRPr="00CA0231">
        <w:rPr>
          <w:rFonts w:ascii="等线" w:eastAsia="等线" w:hAnsi="Times New Roman"/>
          <w:color w:val="000000"/>
        </w:rPr>
        <w:t>s Shanghai office, DLA Piper LLP</w:t>
      </w:r>
      <w:r w:rsidRPr="00CA0231">
        <w:rPr>
          <w:rFonts w:ascii="等线" w:eastAsia="等线" w:hAnsi="Times New Roman"/>
          <w:color w:val="000000"/>
        </w:rPr>
        <w:t>’</w:t>
      </w:r>
      <w:r w:rsidRPr="00CA0231">
        <w:rPr>
          <w:rFonts w:ascii="等线" w:eastAsia="等线" w:hAnsi="Times New Roman"/>
          <w:color w:val="000000"/>
        </w:rPr>
        <w:t>s Beijing office, and Paul, Weiss, Rifkind, Wharton &amp; Garrison LLP</w:t>
      </w:r>
      <w:r w:rsidRPr="00CA0231">
        <w:rPr>
          <w:rFonts w:ascii="等线" w:eastAsia="等线" w:hAnsi="Times New Roman"/>
          <w:color w:val="000000"/>
        </w:rPr>
        <w:t>’</w:t>
      </w:r>
      <w:r w:rsidRPr="00CA0231">
        <w:rPr>
          <w:rFonts w:ascii="等线" w:eastAsia="等线" w:hAnsi="Times New Roman"/>
          <w:color w:val="000000"/>
        </w:rPr>
        <w:t>s Beijing office. Mr. Bu also worked at the Atlanta office of King &amp; Spalding LLP.</w:t>
      </w:r>
    </w:p>
    <w:p w14:paraId="55399243" w14:textId="77777777" w:rsidR="00CA0231" w:rsidRDefault="00CA0231" w:rsidP="00CA0231">
      <w:pPr>
        <w:pStyle w:val="af5"/>
        <w:numPr>
          <w:ilvl w:val="0"/>
          <w:numId w:val="45"/>
        </w:numPr>
        <w:spacing w:before="120"/>
        <w:ind w:left="690" w:hanging="240"/>
        <w:rPr>
          <w:rFonts w:ascii="等线" w:eastAsia="等线" w:hAnsi="Times New Roman"/>
          <w:color w:val="000000"/>
        </w:rPr>
      </w:pPr>
      <w:r w:rsidRPr="00CA0231">
        <w:rPr>
          <w:rFonts w:ascii="等线" w:eastAsia="等线" w:hAnsi="Times New Roman"/>
          <w:color w:val="000000"/>
        </w:rPr>
        <w:t>Mr. Bu was named one of LegalOne's &amp;quot;2025 Top 15 Client-Trusted Lawyers: Corporate Global Expansion&amp;quot; in 2025.</w:t>
      </w:r>
    </w:p>
    <w:p w14:paraId="2630B49F" w14:textId="77777777" w:rsidR="00CA0231" w:rsidRDefault="00CA0231" w:rsidP="00CA0231">
      <w:pPr>
        <w:pStyle w:val="af5"/>
        <w:numPr>
          <w:ilvl w:val="0"/>
          <w:numId w:val="46"/>
        </w:numPr>
        <w:spacing w:before="120"/>
        <w:ind w:left="690" w:hanging="240"/>
        <w:rPr>
          <w:rFonts w:ascii="等线" w:eastAsia="等线" w:hAnsi="Times New Roman"/>
          <w:color w:val="000000"/>
        </w:rPr>
      </w:pPr>
      <w:r w:rsidRPr="00CA0231">
        <w:rPr>
          <w:rFonts w:ascii="等线" w:eastAsia="等线" w:hAnsi="Times New Roman"/>
          <w:color w:val="000000"/>
        </w:rPr>
        <w:t>Mr. Bu was recognized as a &amp;quot;Rising Star Partner&amp;quot; by IFLR 1000 in 2025.</w:t>
      </w:r>
    </w:p>
    <w:p w14:paraId="14477030" w14:textId="77777777" w:rsidR="00CA0231" w:rsidRDefault="00CA0231" w:rsidP="00CA0231">
      <w:pPr>
        <w:pStyle w:val="af5"/>
        <w:numPr>
          <w:ilvl w:val="0"/>
          <w:numId w:val="47"/>
        </w:numPr>
        <w:spacing w:before="120"/>
        <w:ind w:left="690" w:hanging="240"/>
        <w:rPr>
          <w:rFonts w:ascii="等线" w:eastAsia="等线" w:hAnsi="Times New Roman"/>
          <w:color w:val="000000"/>
        </w:rPr>
      </w:pPr>
      <w:r w:rsidRPr="00CA0231">
        <w:rPr>
          <w:rFonts w:ascii="等线" w:eastAsia="等线" w:hAnsi="Times New Roman"/>
          <w:color w:val="000000"/>
        </w:rPr>
        <w:t>Mr. Bu has been interviewed multiple times by various medias such as 36Kr, 21st Century Business Herald, Caijing Magazine, and Glowsphere.</w:t>
      </w:r>
    </w:p>
    <w:p w14:paraId="7113CD40" w14:textId="77777777" w:rsidR="00CA0231" w:rsidRDefault="00CA0231" w:rsidP="00CA0231">
      <w:pPr>
        <w:pStyle w:val="af5"/>
        <w:spacing w:after="0" w:line="480" w:lineRule="auto"/>
        <w:rPr>
          <w:rFonts w:ascii="等线" w:eastAsia="等线" w:hAnsi="等线"/>
          <w:b/>
          <w:sz w:val="24"/>
        </w:rPr>
      </w:pPr>
      <w:r w:rsidRPr="00CA0231">
        <w:rPr>
          <w:rFonts w:ascii="等线" w:eastAsia="等线" w:hAnsi="等线"/>
          <w:b/>
          <w:sz w:val="24"/>
        </w:rPr>
        <w:t>OTHER INFORMATION</w:t>
      </w:r>
    </w:p>
    <w:p w14:paraId="5C6763EA" w14:textId="77777777" w:rsidR="00CA0231" w:rsidRDefault="00CA0231" w:rsidP="00CA0231">
      <w:pPr>
        <w:pStyle w:val="af5"/>
        <w:spacing w:after="0" w:line="480" w:lineRule="auto"/>
        <w:rPr>
          <w:rFonts w:ascii="等线" w:eastAsia="等线" w:hAnsi="等线"/>
          <w:b/>
          <w:sz w:val="24"/>
        </w:rPr>
      </w:pPr>
      <w:r w:rsidRPr="00CA0231">
        <w:rPr>
          <w:rFonts w:ascii="等线" w:eastAsia="等线" w:hAnsi="等线"/>
          <w:b/>
          <w:sz w:val="24"/>
        </w:rPr>
        <w:t>Publications</w:t>
      </w:r>
    </w:p>
    <w:p w14:paraId="232495FA" w14:textId="77777777" w:rsidR="00CA0231" w:rsidRDefault="00CA0231" w:rsidP="00CA0231">
      <w:pPr>
        <w:pStyle w:val="af5"/>
        <w:numPr>
          <w:ilvl w:val="0"/>
          <w:numId w:val="48"/>
        </w:numPr>
        <w:spacing w:before="120"/>
        <w:ind w:left="690" w:hanging="240"/>
        <w:rPr>
          <w:rFonts w:ascii="等线" w:eastAsia="等线" w:hAnsi="Times New Roman"/>
          <w:color w:val="000000"/>
        </w:rPr>
      </w:pPr>
      <w:r w:rsidRPr="00CA0231">
        <w:rPr>
          <w:rFonts w:ascii="等线" w:eastAsia="等线" w:hAnsi="Times New Roman"/>
          <w:color w:val="000000"/>
        </w:rPr>
        <w:t>“</w:t>
      </w:r>
      <w:r w:rsidRPr="00CA0231">
        <w:rPr>
          <w:rFonts w:ascii="等线" w:eastAsia="等线" w:hAnsi="Times New Roman"/>
          <w:color w:val="000000"/>
        </w:rPr>
        <w:t>EMERGENCY ARBITRATOR PROCEDURE AND OPEN-LIST ARBITRATOR APPOINTMENT UNDER THE NEW CHINA (SHANGHAI) PILOT FREE TRADE ZONE ARBITRATION RULES: DAWN OF A NEW ERA?</w:t>
      </w:r>
      <w:r w:rsidRPr="00CA0231">
        <w:rPr>
          <w:rFonts w:ascii="等线" w:eastAsia="等线" w:hAnsi="Times New Roman"/>
          <w:color w:val="000000"/>
        </w:rPr>
        <w:t>”</w:t>
      </w:r>
      <w:r w:rsidRPr="00CA0231">
        <w:rPr>
          <w:rFonts w:ascii="等线" w:eastAsia="等线" w:hAnsi="Times New Roman"/>
          <w:color w:val="000000"/>
        </w:rPr>
        <w:t xml:space="preserve"> 10 U. Pa. E. Asia L. Rev. 66 (2014). Available at: http://scholarship.law.upenn.edu/ealr/vol10/iss1/3 </w:t>
      </w:r>
    </w:p>
    <w:p w14:paraId="5567FC3C" w14:textId="346F86F6" w:rsidR="00686369" w:rsidRPr="00CA0231" w:rsidRDefault="00CA0231" w:rsidP="00CA0231">
      <w:pPr>
        <w:pStyle w:val="af5"/>
        <w:numPr>
          <w:ilvl w:val="0"/>
          <w:numId w:val="49"/>
        </w:numPr>
        <w:spacing w:before="120"/>
        <w:ind w:left="690" w:hanging="240"/>
        <w:rPr>
          <w:rFonts w:ascii="等线" w:eastAsia="等线" w:hAnsi="Times New Roman"/>
          <w:color w:val="000000"/>
        </w:rPr>
      </w:pPr>
      <w:r w:rsidRPr="00CA0231">
        <w:rPr>
          <w:rFonts w:ascii="等线" w:eastAsia="等线" w:hAnsi="Times New Roman"/>
          <w:color w:val="000000"/>
        </w:rPr>
        <w:t>“</w:t>
      </w:r>
      <w:r w:rsidRPr="00CA0231">
        <w:rPr>
          <w:rFonts w:ascii="等线" w:eastAsia="等线" w:hAnsi="Times New Roman"/>
          <w:color w:val="000000"/>
        </w:rPr>
        <w:t>BEST PRACTICES FOR A STATE ALZHEIMER</w:t>
      </w:r>
      <w:r w:rsidRPr="00CA0231">
        <w:rPr>
          <w:rFonts w:ascii="等线" w:eastAsia="等线" w:hAnsi="Times New Roman"/>
          <w:color w:val="000000"/>
        </w:rPr>
        <w:t>’</w:t>
      </w:r>
      <w:r w:rsidRPr="00CA0231">
        <w:rPr>
          <w:rFonts w:ascii="等线" w:eastAsia="等线" w:hAnsi="Times New Roman"/>
          <w:color w:val="000000"/>
        </w:rPr>
        <w:t>S DISEASE REGISTRY: LESSONS FROM GEORGIA?</w:t>
      </w:r>
      <w:r w:rsidRPr="00CA0231">
        <w:rPr>
          <w:rFonts w:ascii="等线" w:eastAsia="等线" w:hAnsi="Times New Roman"/>
          <w:color w:val="000000"/>
        </w:rPr>
        <w:t>”</w:t>
      </w:r>
      <w:r w:rsidRPr="00CA0231">
        <w:rPr>
          <w:rFonts w:ascii="等线" w:eastAsia="等线" w:hAnsi="Times New Roman"/>
          <w:color w:val="000000"/>
        </w:rPr>
        <w:t xml:space="preserve"> 17 J. Minn. J. L. Sci. &amp; Tech (2016). Available at SSRN: http://ssrn.com/abstract=2592461 </w:t>
      </w:r>
    </w:p>
    <w:sectPr w:rsidR="00686369" w:rsidRPr="00CA023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D4573"/>
    <w:multiLevelType w:val="singleLevel"/>
    <w:tmpl w:val="C748B2D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2B7B8B"/>
    <w:multiLevelType w:val="singleLevel"/>
    <w:tmpl w:val="50706CB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EB41BE"/>
    <w:multiLevelType w:val="singleLevel"/>
    <w:tmpl w:val="855241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6D0DF4"/>
    <w:multiLevelType w:val="singleLevel"/>
    <w:tmpl w:val="E54EA53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187FDA"/>
    <w:multiLevelType w:val="singleLevel"/>
    <w:tmpl w:val="D954F6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5C51CC"/>
    <w:multiLevelType w:val="singleLevel"/>
    <w:tmpl w:val="0A3CE46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3A1461"/>
    <w:multiLevelType w:val="singleLevel"/>
    <w:tmpl w:val="D3CA6C6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E4B7CC1"/>
    <w:multiLevelType w:val="singleLevel"/>
    <w:tmpl w:val="6B30B0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0933CF"/>
    <w:multiLevelType w:val="singleLevel"/>
    <w:tmpl w:val="7F68415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8146EB1"/>
    <w:multiLevelType w:val="singleLevel"/>
    <w:tmpl w:val="DB70DBC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7A37C5"/>
    <w:multiLevelType w:val="singleLevel"/>
    <w:tmpl w:val="AC1A0C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804A93"/>
    <w:multiLevelType w:val="singleLevel"/>
    <w:tmpl w:val="F76A3A0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473EA2"/>
    <w:multiLevelType w:val="singleLevel"/>
    <w:tmpl w:val="602C0F5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8CE1355"/>
    <w:multiLevelType w:val="singleLevel"/>
    <w:tmpl w:val="68285F2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3F76E6"/>
    <w:multiLevelType w:val="singleLevel"/>
    <w:tmpl w:val="817CDE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035913"/>
    <w:multiLevelType w:val="singleLevel"/>
    <w:tmpl w:val="F89C264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C322BB"/>
    <w:multiLevelType w:val="singleLevel"/>
    <w:tmpl w:val="B172E6F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712003"/>
    <w:multiLevelType w:val="singleLevel"/>
    <w:tmpl w:val="597EA2B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16F26DD"/>
    <w:multiLevelType w:val="singleLevel"/>
    <w:tmpl w:val="F208BE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1845188"/>
    <w:multiLevelType w:val="singleLevel"/>
    <w:tmpl w:val="DAC43B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8127B3"/>
    <w:multiLevelType w:val="singleLevel"/>
    <w:tmpl w:val="3D343F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0606D1"/>
    <w:multiLevelType w:val="singleLevel"/>
    <w:tmpl w:val="688E95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5D767C"/>
    <w:multiLevelType w:val="singleLevel"/>
    <w:tmpl w:val="E1B466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D679F0"/>
    <w:multiLevelType w:val="singleLevel"/>
    <w:tmpl w:val="19BA74D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0B809FE"/>
    <w:multiLevelType w:val="singleLevel"/>
    <w:tmpl w:val="B29A5D0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FD737F"/>
    <w:multiLevelType w:val="singleLevel"/>
    <w:tmpl w:val="CBE6D72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C10C73"/>
    <w:multiLevelType w:val="singleLevel"/>
    <w:tmpl w:val="5BE6E96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B2290A"/>
    <w:multiLevelType w:val="singleLevel"/>
    <w:tmpl w:val="CFA0B20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D75361B"/>
    <w:multiLevelType w:val="singleLevel"/>
    <w:tmpl w:val="57280D7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002686"/>
    <w:multiLevelType w:val="singleLevel"/>
    <w:tmpl w:val="3B28E37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183685E"/>
    <w:multiLevelType w:val="singleLevel"/>
    <w:tmpl w:val="318ACD7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4C7A12"/>
    <w:multiLevelType w:val="singleLevel"/>
    <w:tmpl w:val="138C432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786076A"/>
    <w:multiLevelType w:val="singleLevel"/>
    <w:tmpl w:val="D94E0D8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DD64E2"/>
    <w:multiLevelType w:val="singleLevel"/>
    <w:tmpl w:val="5AFA7FB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3462C1"/>
    <w:multiLevelType w:val="singleLevel"/>
    <w:tmpl w:val="C8D082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365D32"/>
    <w:multiLevelType w:val="singleLevel"/>
    <w:tmpl w:val="C3FAFF0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E08359C"/>
    <w:multiLevelType w:val="singleLevel"/>
    <w:tmpl w:val="EE2CD41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F0E6087"/>
    <w:multiLevelType w:val="singleLevel"/>
    <w:tmpl w:val="F90CFF3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4729D8"/>
    <w:multiLevelType w:val="singleLevel"/>
    <w:tmpl w:val="4F62CB8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9CD1F4C"/>
    <w:multiLevelType w:val="singleLevel"/>
    <w:tmpl w:val="6B30B0B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B557259"/>
    <w:multiLevelType w:val="singleLevel"/>
    <w:tmpl w:val="ECFE8088"/>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E532EE4"/>
    <w:multiLevelType w:val="singleLevel"/>
    <w:tmpl w:val="5B5A183C"/>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6B2A15"/>
    <w:multiLevelType w:val="singleLevel"/>
    <w:tmpl w:val="5336905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3574C4"/>
    <w:multiLevelType w:val="singleLevel"/>
    <w:tmpl w:val="C1F8BDC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8A054FB"/>
    <w:multiLevelType w:val="singleLevel"/>
    <w:tmpl w:val="4B82313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BF11C8A"/>
    <w:multiLevelType w:val="singleLevel"/>
    <w:tmpl w:val="4DB23DA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C8957F7"/>
    <w:multiLevelType w:val="singleLevel"/>
    <w:tmpl w:val="2FAE8C6C"/>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4"/>
  </w:num>
  <w:num w:numId="3">
    <w:abstractNumId w:val="14"/>
  </w:num>
  <w:num w:numId="4">
    <w:abstractNumId w:val="20"/>
  </w:num>
  <w:num w:numId="5">
    <w:abstractNumId w:val="9"/>
  </w:num>
  <w:num w:numId="6">
    <w:abstractNumId w:val="43"/>
  </w:num>
  <w:num w:numId="7">
    <w:abstractNumId w:val="8"/>
  </w:num>
  <w:num w:numId="8">
    <w:abstractNumId w:val="36"/>
  </w:num>
  <w:num w:numId="9">
    <w:abstractNumId w:val="28"/>
  </w:num>
  <w:num w:numId="10">
    <w:abstractNumId w:val="30"/>
  </w:num>
  <w:num w:numId="11">
    <w:abstractNumId w:val="23"/>
  </w:num>
  <w:num w:numId="12">
    <w:abstractNumId w:val="6"/>
  </w:num>
  <w:num w:numId="13">
    <w:abstractNumId w:val="27"/>
  </w:num>
  <w:num w:numId="14">
    <w:abstractNumId w:val="34"/>
  </w:num>
  <w:num w:numId="15">
    <w:abstractNumId w:val="13"/>
  </w:num>
  <w:num w:numId="16">
    <w:abstractNumId w:val="19"/>
  </w:num>
  <w:num w:numId="17">
    <w:abstractNumId w:val="29"/>
  </w:num>
  <w:num w:numId="18">
    <w:abstractNumId w:val="48"/>
  </w:num>
  <w:num w:numId="19">
    <w:abstractNumId w:val="31"/>
  </w:num>
  <w:num w:numId="20">
    <w:abstractNumId w:val="17"/>
  </w:num>
  <w:num w:numId="21">
    <w:abstractNumId w:val="4"/>
  </w:num>
  <w:num w:numId="22">
    <w:abstractNumId w:val="39"/>
  </w:num>
  <w:num w:numId="23">
    <w:abstractNumId w:val="44"/>
  </w:num>
  <w:num w:numId="24">
    <w:abstractNumId w:val="21"/>
  </w:num>
  <w:num w:numId="25">
    <w:abstractNumId w:val="40"/>
  </w:num>
  <w:num w:numId="26">
    <w:abstractNumId w:val="25"/>
  </w:num>
  <w:num w:numId="27">
    <w:abstractNumId w:val="0"/>
  </w:num>
  <w:num w:numId="28">
    <w:abstractNumId w:val="45"/>
  </w:num>
  <w:num w:numId="29">
    <w:abstractNumId w:val="10"/>
  </w:num>
  <w:num w:numId="30">
    <w:abstractNumId w:val="16"/>
  </w:num>
  <w:num w:numId="31">
    <w:abstractNumId w:val="33"/>
  </w:num>
  <w:num w:numId="32">
    <w:abstractNumId w:val="35"/>
  </w:num>
  <w:num w:numId="33">
    <w:abstractNumId w:val="38"/>
  </w:num>
  <w:num w:numId="34">
    <w:abstractNumId w:val="11"/>
  </w:num>
  <w:num w:numId="35">
    <w:abstractNumId w:val="47"/>
  </w:num>
  <w:num w:numId="36">
    <w:abstractNumId w:val="32"/>
  </w:num>
  <w:num w:numId="37">
    <w:abstractNumId w:val="15"/>
  </w:num>
  <w:num w:numId="38">
    <w:abstractNumId w:val="3"/>
  </w:num>
  <w:num w:numId="39">
    <w:abstractNumId w:val="42"/>
  </w:num>
  <w:num w:numId="40">
    <w:abstractNumId w:val="26"/>
  </w:num>
  <w:num w:numId="41">
    <w:abstractNumId w:val="12"/>
  </w:num>
  <w:num w:numId="42">
    <w:abstractNumId w:val="37"/>
  </w:num>
  <w:num w:numId="43">
    <w:abstractNumId w:val="5"/>
  </w:num>
  <w:num w:numId="44">
    <w:abstractNumId w:val="1"/>
  </w:num>
  <w:num w:numId="45">
    <w:abstractNumId w:val="22"/>
  </w:num>
  <w:num w:numId="46">
    <w:abstractNumId w:val="46"/>
  </w:num>
  <w:num w:numId="47">
    <w:abstractNumId w:val="2"/>
  </w:num>
  <w:num w:numId="48">
    <w:abstractNumId w:val="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A0231"/>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A0231"/>
    <w:pPr>
      <w:spacing w:after="120"/>
    </w:pPr>
  </w:style>
  <w:style w:type="character" w:customStyle="1" w:styleId="af6">
    <w:name w:val="正文文本 字符"/>
    <w:basedOn w:val="a0"/>
    <w:link w:val="af5"/>
    <w:uiPriority w:val="99"/>
    <w:rsid w:val="00CA023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8A5AD-9596-40B6-B4AF-4C737379B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969</Words>
  <Characters>5526</Characters>
  <Application>Microsoft Office Word</Application>
  <DocSecurity>0</DocSecurity>
  <Lines>46</Lines>
  <Paragraphs>12</Paragraphs>
  <ScaleCrop>false</ScaleCrop>
  <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2026-07-16T16:01:00Z</dcterms:created>
  <dcterms:modified xsi:type="dcterms:W3CDTF">2026-07-16T16:01:00Z</dcterms:modified>
</cp:coreProperties>
</file>