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CEA2202" w:rsidR="0049405C" w:rsidRPr="00C24D79" w:rsidRDefault="000C7249" w:rsidP="000C724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0C7249">
              <w:rPr>
                <w:rFonts w:ascii="等线" w:eastAsia="等线" w:hAnsi="Times New Roman"/>
                <w:b/>
                <w:color w:val="000000"/>
                <w:sz w:val="48"/>
              </w:rPr>
              <w:t>CHAO HUANG</w:t>
            </w:r>
            <w:bookmarkEnd w:id="0"/>
          </w:p>
          <w:p w14:paraId="706EB16B" w14:textId="1D279134" w:rsidR="0049405C" w:rsidRPr="00C24D79" w:rsidRDefault="000C7249" w:rsidP="000C724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0C7249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0C724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C7249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11FA2FA4" w:rsidR="0049405C" w:rsidRPr="00C24D79" w:rsidRDefault="000C7249" w:rsidP="000C724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0C7249">
              <w:rPr>
                <w:rFonts w:ascii="等线" w:eastAsia="等线" w:hAnsi="Times New Roman"/>
                <w:color w:val="000000"/>
              </w:rPr>
              <w:t xml:space="preserve">+86 10 5769 5652 / +86 138 1175 2043 </w:t>
            </w:r>
            <w:bookmarkEnd w:id="3"/>
          </w:p>
          <w:p w14:paraId="4F910ACA" w14:textId="46025F73" w:rsidR="0049405C" w:rsidRPr="00C24D79" w:rsidRDefault="000C7249" w:rsidP="000C724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0C7249">
              <w:rPr>
                <w:rFonts w:ascii="等线" w:eastAsia="等线" w:hAnsi="Times New Roman"/>
                <w:color w:val="000000"/>
              </w:rPr>
              <w:t>chao.huang@fangdalaw.com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9947C79" w:rsidR="0049405C" w:rsidRPr="00C24D79" w:rsidRDefault="000C724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07808B2" wp14:editId="4FD68D0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4149372" w:rsidR="009465FB" w:rsidRPr="00C24D79" w:rsidRDefault="000C724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0C7249">
              <w:rPr>
                <w:rFonts w:ascii="等线" w:eastAsia="等线" w:hAnsi="Times New Roman"/>
                <w:color w:val="000000"/>
                <w:szCs w:val="21"/>
              </w:rPr>
              <w:t>MR. HUANG SPECIALIZES IN M&amp;A, PRIVATE EQUITY INVESTMENTS AND ONSHORE OFFERING AND LISTING OF SECURITIES.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E62914C" w14:textId="77777777" w:rsidR="000C724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56C9188" w14:textId="77777777" w:rsidR="000C7249" w:rsidRDefault="000C7249" w:rsidP="000C724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C7249">
        <w:rPr>
          <w:rFonts w:ascii="等线" w:eastAsia="等线" w:hAnsi="等线"/>
          <w:b/>
          <w:sz w:val="24"/>
        </w:rPr>
        <w:t>REPRESENTATIVE MATTERS AND CASES</w:t>
      </w:r>
    </w:p>
    <w:p w14:paraId="0B213D12" w14:textId="77777777" w:rsidR="000C7249" w:rsidRDefault="000C7249" w:rsidP="000C7249">
      <w:pPr>
        <w:pStyle w:val="af5"/>
        <w:spacing w:before="120"/>
        <w:rPr>
          <w:rFonts w:ascii="等线" w:eastAsia="等线" w:hAnsi="Times New Roman"/>
          <w:color w:val="000000"/>
        </w:rPr>
      </w:pPr>
      <w:r w:rsidRPr="000C7249">
        <w:rPr>
          <w:rFonts w:ascii="等线" w:eastAsia="等线" w:hAnsi="Times New Roman"/>
          <w:color w:val="000000"/>
        </w:rPr>
        <w:t>M&amp;A and private equity investments</w:t>
      </w:r>
    </w:p>
    <w:p w14:paraId="296ED3F4" w14:textId="77777777" w:rsidR="000C7249" w:rsidRDefault="000C7249" w:rsidP="000C724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249">
        <w:rPr>
          <w:rFonts w:ascii="等线" w:eastAsia="等线" w:hAnsi="Times New Roman"/>
          <w:color w:val="000000"/>
        </w:rPr>
        <w:t>Advised WuXi AppTec (603259.SH/2359.HK) on its acquisition of 100% equity stake in HD Biosciences Co., Ltd., its acquisition of 100% equity stake in Jiangsu Safe Pharmaceutical Co., Ltd., and the establishment of a joint venture offering healthcare big data solutions</w:t>
      </w:r>
    </w:p>
    <w:p w14:paraId="104D1FFA" w14:textId="77777777" w:rsidR="000C7249" w:rsidRDefault="000C7249" w:rsidP="000C724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249">
        <w:rPr>
          <w:rFonts w:ascii="等线" w:eastAsia="等线" w:hAnsi="Times New Roman"/>
          <w:color w:val="000000"/>
        </w:rPr>
        <w:t>Advised CICC Capital on its acquisition of the majority stake in Shell Zhejiang</w:t>
      </w:r>
    </w:p>
    <w:p w14:paraId="7FF4A672" w14:textId="77777777" w:rsidR="000C7249" w:rsidRDefault="000C7249" w:rsidP="000C724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249">
        <w:rPr>
          <w:rFonts w:ascii="等线" w:eastAsia="等线" w:hAnsi="Times New Roman"/>
          <w:color w:val="000000"/>
        </w:rPr>
        <w:t>Advised China National Integrated Circuit Industry Investment Fund on its investments in a number of PRC listed or unlisted semiconductor enterprises, including SMIT (2239.HK), Navtech (300456.SZ), AMEC (688012.SH) and Centec</w:t>
      </w:r>
    </w:p>
    <w:p w14:paraId="7CFAD5ED" w14:textId="77777777" w:rsidR="000C7249" w:rsidRDefault="000C7249" w:rsidP="000C724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249">
        <w:rPr>
          <w:rFonts w:ascii="等线" w:eastAsia="等线" w:hAnsi="Times New Roman"/>
          <w:color w:val="000000"/>
        </w:rPr>
        <w:t>Advised VeriSilicon (688521.SH) and AMEC (688012.SH) on their onshore and offshore restructuring and multiple rounds of equity financing</w:t>
      </w:r>
    </w:p>
    <w:p w14:paraId="39846DF3" w14:textId="77777777" w:rsidR="000C7249" w:rsidRDefault="000C7249" w:rsidP="000C724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249">
        <w:rPr>
          <w:rFonts w:ascii="等线" w:eastAsia="等线" w:hAnsi="Times New Roman"/>
          <w:color w:val="000000"/>
        </w:rPr>
        <w:t>Advised Avary Holding (002938.SZ) and WuXi AppTec (603259.SH/2359.HK) on their pre-IPO equity financing, and COFCO W&amp;W on its equity financing</w:t>
      </w:r>
    </w:p>
    <w:p w14:paraId="63D92601" w14:textId="77777777" w:rsidR="000C7249" w:rsidRDefault="000C7249" w:rsidP="000C724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249">
        <w:rPr>
          <w:rFonts w:ascii="等线" w:eastAsia="等线" w:hAnsi="Times New Roman"/>
          <w:color w:val="000000"/>
        </w:rPr>
        <w:t>Advised multiple private equity firms including Fonestone Capital and CEC Innovation Fund on various types of investments primarily focusing on the non-financial institutions</w:t>
      </w:r>
      <w:r w:rsidRPr="000C7249">
        <w:rPr>
          <w:rFonts w:ascii="等线" w:eastAsia="等线" w:hAnsi="Times New Roman"/>
          <w:color w:val="000000"/>
        </w:rPr>
        <w:t>’</w:t>
      </w:r>
      <w:r w:rsidRPr="000C7249">
        <w:rPr>
          <w:rFonts w:ascii="等线" w:eastAsia="等线" w:hAnsi="Times New Roman"/>
          <w:color w:val="000000"/>
        </w:rPr>
        <w:t xml:space="preserve"> payment services, internet content provider and semiconductor industries</w:t>
      </w:r>
    </w:p>
    <w:p w14:paraId="5120F836" w14:textId="77777777" w:rsidR="000C7249" w:rsidRDefault="000C7249" w:rsidP="000C7249">
      <w:pPr>
        <w:pStyle w:val="af5"/>
        <w:spacing w:before="120"/>
        <w:rPr>
          <w:rFonts w:ascii="等线" w:eastAsia="等线" w:hAnsi="Times New Roman"/>
          <w:color w:val="000000"/>
        </w:rPr>
      </w:pPr>
      <w:r w:rsidRPr="000C7249">
        <w:rPr>
          <w:rFonts w:ascii="等线" w:eastAsia="等线" w:hAnsi="Times New Roman"/>
          <w:color w:val="000000"/>
        </w:rPr>
        <w:t>Onshore offering and listing of securities</w:t>
      </w:r>
    </w:p>
    <w:p w14:paraId="4E4FAD23" w14:textId="77777777" w:rsidR="000C7249" w:rsidRDefault="000C7249" w:rsidP="000C724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249">
        <w:rPr>
          <w:rFonts w:ascii="等线" w:eastAsia="等线" w:hAnsi="Times New Roman"/>
          <w:color w:val="000000"/>
        </w:rPr>
        <w:t>Advised VeriSilicon (688521.SH) on its IPO and A-share listing on the STAR Market of the Shanghai Stock Exchange</w:t>
      </w:r>
    </w:p>
    <w:p w14:paraId="77726F25" w14:textId="77777777" w:rsidR="000C7249" w:rsidRDefault="000C7249" w:rsidP="000C724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249">
        <w:rPr>
          <w:rFonts w:ascii="等线" w:eastAsia="等线" w:hAnsi="Times New Roman"/>
          <w:color w:val="000000"/>
        </w:rPr>
        <w:t>Advised AMEC (688012.SH) on its IPO and A-share listing on the STAR Market of the Shanghai Stock Exchange</w:t>
      </w:r>
    </w:p>
    <w:p w14:paraId="2F59F9E7" w14:textId="77777777" w:rsidR="000C7249" w:rsidRDefault="000C7249" w:rsidP="000C724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249">
        <w:rPr>
          <w:rFonts w:ascii="等线" w:eastAsia="等线" w:hAnsi="Times New Roman"/>
          <w:color w:val="000000"/>
        </w:rPr>
        <w:t>Advised WuXi AppTec (603259.SH/2345.HK) on its IPO and A-share listing on the Main Board of the Shanghai Stock Exchange</w:t>
      </w:r>
    </w:p>
    <w:p w14:paraId="7CE1FA0F" w14:textId="77777777" w:rsidR="000C7249" w:rsidRDefault="000C7249" w:rsidP="000C724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249">
        <w:rPr>
          <w:rFonts w:ascii="等线" w:eastAsia="等线" w:hAnsi="Times New Roman"/>
          <w:color w:val="000000"/>
        </w:rPr>
        <w:t>Advised Konruns Pharmaceutical (603590.SH) on its IPO and A-share listing on the Main Board of the Shanghai Stock Exchange</w:t>
      </w:r>
    </w:p>
    <w:p w14:paraId="57B0AA93" w14:textId="77777777" w:rsidR="000C7249" w:rsidRDefault="000C7249" w:rsidP="000C724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249">
        <w:rPr>
          <w:rFonts w:ascii="等线" w:eastAsia="等线" w:hAnsi="Times New Roman"/>
          <w:color w:val="000000"/>
        </w:rPr>
        <w:t>Advised Sichuan Haowu Electromechanical Co., Ltd. (000787.SZ) on its issuance of shares and cash payments in its acquisition of Neijiang Pengxiang Investment Co., Ltd.</w:t>
      </w:r>
    </w:p>
    <w:p w14:paraId="7E3FCFB8" w14:textId="77777777" w:rsidR="000C7249" w:rsidRDefault="000C7249" w:rsidP="000C724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249">
        <w:rPr>
          <w:rFonts w:ascii="等线" w:eastAsia="等线" w:hAnsi="Times New Roman"/>
          <w:color w:val="000000"/>
        </w:rPr>
        <w:t>Advised the sole sponsor and underwriter on Maxscend</w:t>
      </w:r>
      <w:r w:rsidRPr="000C7249">
        <w:rPr>
          <w:rFonts w:ascii="等线" w:eastAsia="等线" w:hAnsi="Times New Roman"/>
          <w:color w:val="000000"/>
        </w:rPr>
        <w:t>’</w:t>
      </w:r>
      <w:r w:rsidRPr="000C7249">
        <w:rPr>
          <w:rFonts w:ascii="等线" w:eastAsia="等线" w:hAnsi="Times New Roman"/>
          <w:color w:val="000000"/>
        </w:rPr>
        <w:t>s (300782.SZ) IPO and A-share listing on the Growth Enterprises Market of the Shenzhen Stock Exchange</w:t>
      </w:r>
    </w:p>
    <w:p w14:paraId="23F0254E" w14:textId="77777777" w:rsidR="000C7249" w:rsidRDefault="000C7249" w:rsidP="000C724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249">
        <w:rPr>
          <w:rFonts w:ascii="等线" w:eastAsia="等线" w:hAnsi="Times New Roman"/>
          <w:color w:val="000000"/>
        </w:rPr>
        <w:t>Advised the co-lead underwriter on CATL</w:t>
      </w:r>
      <w:r w:rsidRPr="000C7249">
        <w:rPr>
          <w:rFonts w:ascii="等线" w:eastAsia="等线" w:hAnsi="Times New Roman"/>
          <w:color w:val="000000"/>
        </w:rPr>
        <w:t>’</w:t>
      </w:r>
      <w:r w:rsidRPr="000C7249">
        <w:rPr>
          <w:rFonts w:ascii="等线" w:eastAsia="等线" w:hAnsi="Times New Roman"/>
          <w:color w:val="000000"/>
        </w:rPr>
        <w:t>s (300750.SZ) IPO and A-share listing on the Growth Enterprises Market of the Shenzhen Stock Exchange</w:t>
      </w:r>
    </w:p>
    <w:p w14:paraId="4A8EC670" w14:textId="77777777" w:rsidR="000C7249" w:rsidRDefault="000C7249" w:rsidP="000C724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249">
        <w:rPr>
          <w:rFonts w:ascii="等线" w:eastAsia="等线" w:hAnsi="Times New Roman"/>
          <w:color w:val="000000"/>
        </w:rPr>
        <w:t>Advised the sponsor or the underwriter on the non-public A-share offerings of multiple companies, including Yiling Pharmaceutical (002603.SZ) and Yibai Pharmaceutical (600594.SH)</w:t>
      </w:r>
    </w:p>
    <w:p w14:paraId="56740B63" w14:textId="77777777" w:rsidR="000C7249" w:rsidRDefault="000C7249" w:rsidP="000C724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249">
        <w:rPr>
          <w:rFonts w:ascii="等线" w:eastAsia="等线" w:hAnsi="Times New Roman"/>
          <w:color w:val="000000"/>
        </w:rPr>
        <w:t>Advised the underwriter on China Molybdenum Co., Ltd.</w:t>
      </w:r>
      <w:r w:rsidRPr="000C7249">
        <w:rPr>
          <w:rFonts w:ascii="等线" w:eastAsia="等线" w:hAnsi="Times New Roman"/>
          <w:color w:val="000000"/>
        </w:rPr>
        <w:t>’</w:t>
      </w:r>
      <w:r w:rsidRPr="000C7249">
        <w:rPr>
          <w:rFonts w:ascii="等线" w:eastAsia="等线" w:hAnsi="Times New Roman"/>
          <w:color w:val="000000"/>
        </w:rPr>
        <w:t>s (603993.SH/3993.HK) public offering of A-share convertible bonds in the amount of RMB 4.9 billion</w:t>
      </w:r>
    </w:p>
    <w:p w14:paraId="5E29B159" w14:textId="77777777" w:rsidR="000C7249" w:rsidRDefault="000C7249" w:rsidP="000C7249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249">
        <w:rPr>
          <w:rFonts w:ascii="等线" w:eastAsia="等线" w:hAnsi="Times New Roman"/>
          <w:color w:val="000000"/>
        </w:rPr>
        <w:t>Advised Synbio Technology (871854) on its listing on the National Equities Exchange and Quotations</w:t>
      </w:r>
    </w:p>
    <w:p w14:paraId="23115883" w14:textId="77777777" w:rsidR="000C7249" w:rsidRDefault="000C7249" w:rsidP="000C724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C7249">
        <w:rPr>
          <w:rFonts w:ascii="等线" w:eastAsia="等线" w:hAnsi="等线"/>
          <w:b/>
          <w:sz w:val="24"/>
        </w:rPr>
        <w:t>Education</w:t>
      </w:r>
    </w:p>
    <w:p w14:paraId="42436319" w14:textId="77777777" w:rsidR="000C7249" w:rsidRDefault="000C7249" w:rsidP="000C7249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249">
        <w:rPr>
          <w:rFonts w:ascii="等线" w:eastAsia="等线" w:hAnsi="Times New Roman"/>
          <w:color w:val="000000"/>
        </w:rPr>
        <w:t>New York University School of Law, LL.M., Hauser Global Scholar, 2020</w:t>
      </w:r>
    </w:p>
    <w:p w14:paraId="314DC4FF" w14:textId="77777777" w:rsidR="000C7249" w:rsidRDefault="000C7249" w:rsidP="000C7249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249">
        <w:rPr>
          <w:rFonts w:ascii="等线" w:eastAsia="等线" w:hAnsi="Times New Roman"/>
          <w:color w:val="000000"/>
        </w:rPr>
        <w:t>Peking University Law School, LL.M., 2013</w:t>
      </w:r>
    </w:p>
    <w:p w14:paraId="53211E64" w14:textId="77777777" w:rsidR="000C7249" w:rsidRDefault="000C7249" w:rsidP="000C7249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249">
        <w:rPr>
          <w:rFonts w:ascii="等线" w:eastAsia="等线" w:hAnsi="Times New Roman"/>
          <w:color w:val="000000"/>
        </w:rPr>
        <w:t>Peking University National School of Development, Bachelor of Economics, 2011</w:t>
      </w:r>
    </w:p>
    <w:p w14:paraId="6082C1C2" w14:textId="77777777" w:rsidR="000C7249" w:rsidRDefault="000C7249" w:rsidP="000C7249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249">
        <w:rPr>
          <w:rFonts w:ascii="等线" w:eastAsia="等线" w:hAnsi="Times New Roman"/>
          <w:color w:val="000000"/>
        </w:rPr>
        <w:t>Peking University Law School, LL.B., 2011</w:t>
      </w:r>
    </w:p>
    <w:p w14:paraId="1E04C91C" w14:textId="77777777" w:rsidR="000C7249" w:rsidRDefault="000C7249" w:rsidP="000C724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C7249">
        <w:rPr>
          <w:rFonts w:ascii="等线" w:eastAsia="等线" w:hAnsi="等线"/>
          <w:b/>
          <w:sz w:val="24"/>
        </w:rPr>
        <w:t>Professional Qualification</w:t>
      </w:r>
    </w:p>
    <w:p w14:paraId="23DFEB34" w14:textId="77777777" w:rsidR="000C7249" w:rsidRDefault="000C7249" w:rsidP="000C7249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249">
        <w:rPr>
          <w:rFonts w:ascii="等线" w:eastAsia="等线" w:hAnsi="Times New Roman"/>
          <w:color w:val="000000"/>
        </w:rPr>
        <w:t>Admitted to practice in the PRC</w:t>
      </w:r>
    </w:p>
    <w:p w14:paraId="166C0C20" w14:textId="77777777" w:rsidR="000C7249" w:rsidRDefault="000C7249" w:rsidP="000C724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C7249">
        <w:rPr>
          <w:rFonts w:ascii="等线" w:eastAsia="等线" w:hAnsi="等线"/>
          <w:b/>
          <w:sz w:val="24"/>
        </w:rPr>
        <w:t>Professional Background</w:t>
      </w:r>
    </w:p>
    <w:p w14:paraId="5567FC3C" w14:textId="4A19D794" w:rsidR="00686369" w:rsidRPr="000C7249" w:rsidRDefault="000C7249" w:rsidP="000C7249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249">
        <w:rPr>
          <w:rFonts w:ascii="等线" w:eastAsia="等线" w:hAnsi="Times New Roman"/>
          <w:color w:val="000000"/>
        </w:rPr>
        <w:t>Mr. Huang joined Fangda in 2015. Before joining the firm, he worked at another first-tier PRC law firm in Beijing.</w:t>
      </w:r>
    </w:p>
    <w:sectPr w:rsidR="00686369" w:rsidRPr="000C724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B1AAA"/>
    <w:multiLevelType w:val="singleLevel"/>
    <w:tmpl w:val="44D634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1D50EF"/>
    <w:multiLevelType w:val="singleLevel"/>
    <w:tmpl w:val="8FF886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7D93108"/>
    <w:multiLevelType w:val="singleLevel"/>
    <w:tmpl w:val="ACDC07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82E6D89"/>
    <w:multiLevelType w:val="singleLevel"/>
    <w:tmpl w:val="0908D6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3F2529F"/>
    <w:multiLevelType w:val="singleLevel"/>
    <w:tmpl w:val="D13473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97434F5"/>
    <w:multiLevelType w:val="singleLevel"/>
    <w:tmpl w:val="0C14C0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3DC6843"/>
    <w:multiLevelType w:val="singleLevel"/>
    <w:tmpl w:val="36A01F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BA87E95"/>
    <w:multiLevelType w:val="singleLevel"/>
    <w:tmpl w:val="D69A85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D0E1CD8"/>
    <w:multiLevelType w:val="singleLevel"/>
    <w:tmpl w:val="6A34ED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2F452F4F"/>
    <w:multiLevelType w:val="singleLevel"/>
    <w:tmpl w:val="B8DEAC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F7138E8"/>
    <w:multiLevelType w:val="singleLevel"/>
    <w:tmpl w:val="9BD017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48244C28"/>
    <w:multiLevelType w:val="singleLevel"/>
    <w:tmpl w:val="1B2A7A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87566D8"/>
    <w:multiLevelType w:val="singleLevel"/>
    <w:tmpl w:val="663212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9230998"/>
    <w:multiLevelType w:val="singleLevel"/>
    <w:tmpl w:val="85988D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D1D22A6"/>
    <w:multiLevelType w:val="singleLevel"/>
    <w:tmpl w:val="8604CA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2E27F80"/>
    <w:multiLevelType w:val="singleLevel"/>
    <w:tmpl w:val="CF2C64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9606E60"/>
    <w:multiLevelType w:val="singleLevel"/>
    <w:tmpl w:val="0CFA30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18B5C94"/>
    <w:multiLevelType w:val="singleLevel"/>
    <w:tmpl w:val="A0F6A0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6423AAC"/>
    <w:multiLevelType w:val="singleLevel"/>
    <w:tmpl w:val="B5CA7F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F6E0C41"/>
    <w:multiLevelType w:val="singleLevel"/>
    <w:tmpl w:val="B8DEAC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2E4669A"/>
    <w:multiLevelType w:val="singleLevel"/>
    <w:tmpl w:val="130AAB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4BC144F"/>
    <w:multiLevelType w:val="singleLevel"/>
    <w:tmpl w:val="2F448A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913264E"/>
    <w:multiLevelType w:val="singleLevel"/>
    <w:tmpl w:val="541C41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2"/>
  </w:num>
  <w:num w:numId="3">
    <w:abstractNumId w:val="19"/>
  </w:num>
  <w:num w:numId="4">
    <w:abstractNumId w:val="23"/>
  </w:num>
  <w:num w:numId="5">
    <w:abstractNumId w:val="11"/>
  </w:num>
  <w:num w:numId="6">
    <w:abstractNumId w:val="20"/>
  </w:num>
  <w:num w:numId="7">
    <w:abstractNumId w:val="7"/>
  </w:num>
  <w:num w:numId="8">
    <w:abstractNumId w:val="13"/>
  </w:num>
  <w:num w:numId="9">
    <w:abstractNumId w:val="0"/>
  </w:num>
  <w:num w:numId="10">
    <w:abstractNumId w:val="5"/>
  </w:num>
  <w:num w:numId="11">
    <w:abstractNumId w:val="1"/>
  </w:num>
  <w:num w:numId="12">
    <w:abstractNumId w:val="17"/>
  </w:num>
  <w:num w:numId="13">
    <w:abstractNumId w:val="6"/>
  </w:num>
  <w:num w:numId="14">
    <w:abstractNumId w:val="16"/>
  </w:num>
  <w:num w:numId="15">
    <w:abstractNumId w:val="24"/>
  </w:num>
  <w:num w:numId="16">
    <w:abstractNumId w:val="8"/>
  </w:num>
  <w:num w:numId="17">
    <w:abstractNumId w:val="18"/>
  </w:num>
  <w:num w:numId="18">
    <w:abstractNumId w:val="2"/>
  </w:num>
  <w:num w:numId="19">
    <w:abstractNumId w:val="15"/>
  </w:num>
  <w:num w:numId="20">
    <w:abstractNumId w:val="22"/>
  </w:num>
  <w:num w:numId="21">
    <w:abstractNumId w:val="4"/>
  </w:num>
  <w:num w:numId="22">
    <w:abstractNumId w:val="14"/>
  </w:num>
  <w:num w:numId="23">
    <w:abstractNumId w:val="3"/>
  </w:num>
  <w:num w:numId="24">
    <w:abstractNumId w:val="21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C7249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C724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C724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45D85CA-8264-4FB9-94C9-E5A83452D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482</Words>
  <Characters>2752</Characters>
  <Application>Microsoft Office Word</Application>
  <DocSecurity>0</DocSecurity>
  <Lines>22</Lines>
  <Paragraphs>6</Paragraphs>
  <ScaleCrop>false</ScaleCrop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2026-07-16T15:08:00Z</dcterms:created>
  <dcterms:modified xsi:type="dcterms:W3CDTF">2026-07-16T15:08:00Z</dcterms:modified>
</cp:coreProperties>
</file>