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9B90BF0" w:rsidR="0049405C" w:rsidRPr="00C24D79" w:rsidRDefault="00CB1D15" w:rsidP="00CB1D1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B1D15">
              <w:rPr>
                <w:rFonts w:ascii="等线" w:eastAsia="等线" w:hAnsi="Times New Roman"/>
                <w:b/>
                <w:color w:val="000000"/>
                <w:sz w:val="48"/>
              </w:rPr>
              <w:t>CHAO HUANG</w:t>
            </w:r>
            <w:bookmarkEnd w:id="0"/>
          </w:p>
          <w:p w14:paraId="706EB16B" w14:textId="5B0BD246" w:rsidR="0049405C" w:rsidRPr="00C24D79" w:rsidRDefault="00CB1D15" w:rsidP="00CB1D1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B1D1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B1D1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B1D1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6F8EAA55" w:rsidR="0049405C" w:rsidRPr="00C24D79" w:rsidRDefault="00CB1D15" w:rsidP="00CB1D1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B1D15">
              <w:rPr>
                <w:rFonts w:ascii="等线" w:eastAsia="等线" w:hAnsi="Times New Roman"/>
                <w:color w:val="000000"/>
              </w:rPr>
              <w:t xml:space="preserve">+86 10 5769 5652 / +86 138 1175 2043 </w:t>
            </w:r>
            <w:bookmarkEnd w:id="3"/>
          </w:p>
          <w:p w14:paraId="4F910ACA" w14:textId="4F297617" w:rsidR="0049405C" w:rsidRPr="00C24D79" w:rsidRDefault="00CB1D15" w:rsidP="00CB1D1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B1D15">
              <w:rPr>
                <w:rFonts w:ascii="等线" w:eastAsia="等线" w:hAnsi="Times New Roman"/>
                <w:color w:val="000000"/>
              </w:rPr>
              <w:t>chao.huang@fangdalaw.com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A14F091" w:rsidR="0049405C" w:rsidRPr="00C24D79" w:rsidRDefault="00CB1D1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05DDDC4" wp14:editId="686A777B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4A429E6" w:rsidR="009465FB" w:rsidRPr="00C24D79" w:rsidRDefault="00CB1D1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CB1D15">
              <w:rPr>
                <w:rFonts w:ascii="等线" w:eastAsia="等线" w:hAnsi="Times New Roman"/>
                <w:color w:val="000000"/>
                <w:szCs w:val="21"/>
              </w:rPr>
              <w:t>MR. HUANG SPECIALIZES IN M&amp;A, PRIVATE EQUITY INVESTMENTS AND ONSHORE OFFERING AND LISTING OF SECURITIES.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6E9A7D" w14:textId="77777777" w:rsidR="00CB1D1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D994AAF" w14:textId="77777777" w:rsidR="00CB1D15" w:rsidRDefault="00CB1D15" w:rsidP="00CB1D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D15">
        <w:rPr>
          <w:rFonts w:ascii="等线" w:eastAsia="等线" w:hAnsi="等线"/>
          <w:b/>
          <w:sz w:val="24"/>
        </w:rPr>
        <w:t>REPRESENTATIVE MATTERS AND CASES</w:t>
      </w:r>
    </w:p>
    <w:p w14:paraId="67BBF379" w14:textId="77777777" w:rsidR="00CB1D15" w:rsidRDefault="00CB1D15" w:rsidP="00CB1D1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M&amp;A and private equity investments</w:t>
      </w:r>
    </w:p>
    <w:p w14:paraId="4B737A22" w14:textId="77777777" w:rsidR="00CB1D15" w:rsidRDefault="00CB1D15" w:rsidP="00CB1D1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WuXi AppTec (603259.SH/2359.HK) on its acquisition of 100% equity stake in HD Biosciences Co., Ltd., its acquisition of 100% equity stake in Jiangsu Safe Pharmaceutical Co., Ltd., and the establishment of a joint venture offering healthcare big data solutions</w:t>
      </w:r>
    </w:p>
    <w:p w14:paraId="7B9AAE21" w14:textId="77777777" w:rsidR="00CB1D15" w:rsidRDefault="00CB1D15" w:rsidP="00CB1D1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CICC Capital on its acquisition of the majority stake in Shell Zhejiang</w:t>
      </w:r>
    </w:p>
    <w:p w14:paraId="43194F94" w14:textId="77777777" w:rsidR="00CB1D15" w:rsidRDefault="00CB1D15" w:rsidP="00CB1D1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China National Integrated Circuit Industry Investment Fund on its investments in a number of PRC listed or unlisted semiconductor enterprises, including SMIT (2239.HK), Navtech (300456.SZ), AMEC (688012.SH) and Centec</w:t>
      </w:r>
    </w:p>
    <w:p w14:paraId="6ED59297" w14:textId="77777777" w:rsidR="00CB1D15" w:rsidRDefault="00CB1D15" w:rsidP="00CB1D1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VeriSilicon (688521.SH) and AMEC (688012.SH) on their onshore and offshore restructuring and multiple rounds of equity financing</w:t>
      </w:r>
    </w:p>
    <w:p w14:paraId="3FE2EEBF" w14:textId="77777777" w:rsidR="00CB1D15" w:rsidRDefault="00CB1D15" w:rsidP="00CB1D1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Avary Holding (002938.SZ) and WuXi AppTec (603259.SH/2359.HK) on their pre-IPO equity financing, and COFCO W&amp;W on its equity financing</w:t>
      </w:r>
    </w:p>
    <w:p w14:paraId="3AF5129F" w14:textId="77777777" w:rsidR="00CB1D15" w:rsidRDefault="00CB1D15" w:rsidP="00CB1D1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multiple private equity firms including Fonestone Capital and CEC Innovation Fund on various types of investments primarily focusing on the non-financial institutions</w:t>
      </w:r>
      <w:r w:rsidRPr="00CB1D15">
        <w:rPr>
          <w:rFonts w:ascii="等线" w:eastAsia="等线" w:hAnsi="Times New Roman"/>
          <w:color w:val="000000"/>
        </w:rPr>
        <w:t>’</w:t>
      </w:r>
      <w:r w:rsidRPr="00CB1D15">
        <w:rPr>
          <w:rFonts w:ascii="等线" w:eastAsia="等线" w:hAnsi="Times New Roman"/>
          <w:color w:val="000000"/>
        </w:rPr>
        <w:t xml:space="preserve"> payment services, internet content provider and semiconductor industries</w:t>
      </w:r>
    </w:p>
    <w:p w14:paraId="2CD0396D" w14:textId="77777777" w:rsidR="00CB1D15" w:rsidRDefault="00CB1D15" w:rsidP="00CB1D15">
      <w:pPr>
        <w:pStyle w:val="af5"/>
        <w:spacing w:before="12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Onshore offering and listing of securities</w:t>
      </w:r>
    </w:p>
    <w:p w14:paraId="16FED151" w14:textId="77777777" w:rsidR="00CB1D15" w:rsidRDefault="00CB1D15" w:rsidP="00CB1D1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VeriSilicon (688521.SH) on its IPO and A-share listing on the STAR Market of the Shanghai Stock Exchange</w:t>
      </w:r>
    </w:p>
    <w:p w14:paraId="3176BB92" w14:textId="77777777" w:rsidR="00CB1D15" w:rsidRDefault="00CB1D15" w:rsidP="00CB1D1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AMEC (688012.SH) on its IPO and A-share listing on the STAR Market of the Shanghai Stock Exchange</w:t>
      </w:r>
    </w:p>
    <w:p w14:paraId="1463233A" w14:textId="77777777" w:rsidR="00CB1D15" w:rsidRDefault="00CB1D15" w:rsidP="00CB1D1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WuXi AppTec (603259.SH/2345.HK) on its IPO and A-share listing on the Main Board of the Shanghai Stock Exchange</w:t>
      </w:r>
    </w:p>
    <w:p w14:paraId="3CF35176" w14:textId="77777777" w:rsidR="00CB1D15" w:rsidRDefault="00CB1D15" w:rsidP="00CB1D1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Konruns Pharmaceutical (603590.SH) on its IPO and A-share listing on the Main Board of the Shanghai Stock Exchange</w:t>
      </w:r>
    </w:p>
    <w:p w14:paraId="203915D6" w14:textId="77777777" w:rsidR="00CB1D15" w:rsidRDefault="00CB1D15" w:rsidP="00CB1D1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Sichuan Haowu Electromechanical Co., Ltd. (000787.SZ) on its issuance of shares and cash payments in its acquisition of Neijiang Pengxiang Investment Co., Ltd.</w:t>
      </w:r>
    </w:p>
    <w:p w14:paraId="39E60A9C" w14:textId="77777777" w:rsidR="00CB1D15" w:rsidRDefault="00CB1D15" w:rsidP="00CB1D1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the sole sponsor and underwriter on Maxscend</w:t>
      </w:r>
      <w:r w:rsidRPr="00CB1D15">
        <w:rPr>
          <w:rFonts w:ascii="等线" w:eastAsia="等线" w:hAnsi="Times New Roman"/>
          <w:color w:val="000000"/>
        </w:rPr>
        <w:t>’</w:t>
      </w:r>
      <w:r w:rsidRPr="00CB1D15">
        <w:rPr>
          <w:rFonts w:ascii="等线" w:eastAsia="等线" w:hAnsi="Times New Roman"/>
          <w:color w:val="000000"/>
        </w:rPr>
        <w:t>s (300782.SZ) IPO and A-share listing on the Growth Enterprises Market of the Shenzhen Stock Exchange</w:t>
      </w:r>
    </w:p>
    <w:p w14:paraId="70B30FDD" w14:textId="77777777" w:rsidR="00CB1D15" w:rsidRDefault="00CB1D15" w:rsidP="00CB1D1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the co-lead underwriter on CATL</w:t>
      </w:r>
      <w:r w:rsidRPr="00CB1D15">
        <w:rPr>
          <w:rFonts w:ascii="等线" w:eastAsia="等线" w:hAnsi="Times New Roman"/>
          <w:color w:val="000000"/>
        </w:rPr>
        <w:t>’</w:t>
      </w:r>
      <w:r w:rsidRPr="00CB1D15">
        <w:rPr>
          <w:rFonts w:ascii="等线" w:eastAsia="等线" w:hAnsi="Times New Roman"/>
          <w:color w:val="000000"/>
        </w:rPr>
        <w:t>s (300750.SZ) IPO and A-share listing on the Growth Enterprises Market of the Shenzhen Stock Exchange</w:t>
      </w:r>
    </w:p>
    <w:p w14:paraId="284BC74F" w14:textId="77777777" w:rsidR="00CB1D15" w:rsidRDefault="00CB1D15" w:rsidP="00CB1D1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the sponsor or the underwriter on the non-public A-share offerings of multiple companies, including Yiling Pharmaceutical (002603.SZ) and Yibai Pharmaceutical (600594.SH)</w:t>
      </w:r>
    </w:p>
    <w:p w14:paraId="395DAB37" w14:textId="77777777" w:rsidR="00CB1D15" w:rsidRDefault="00CB1D15" w:rsidP="00CB1D1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the underwriter on China Molybdenum Co., Ltd.</w:t>
      </w:r>
      <w:r w:rsidRPr="00CB1D15">
        <w:rPr>
          <w:rFonts w:ascii="等线" w:eastAsia="等线" w:hAnsi="Times New Roman"/>
          <w:color w:val="000000"/>
        </w:rPr>
        <w:t>’</w:t>
      </w:r>
      <w:r w:rsidRPr="00CB1D15">
        <w:rPr>
          <w:rFonts w:ascii="等线" w:eastAsia="等线" w:hAnsi="Times New Roman"/>
          <w:color w:val="000000"/>
        </w:rPr>
        <w:t>s (603993.SH/3993.HK) public offering of A-share convertible bonds in the amount of RMB 4.9 billion</w:t>
      </w:r>
    </w:p>
    <w:p w14:paraId="74F4BD58" w14:textId="77777777" w:rsidR="00CB1D15" w:rsidRDefault="00CB1D15" w:rsidP="00CB1D1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Advised Synbio Technology (871854) on its listing on the National Equities Exchange and Quotations</w:t>
      </w:r>
    </w:p>
    <w:p w14:paraId="24C7B486" w14:textId="77777777" w:rsidR="00CB1D15" w:rsidRDefault="00CB1D15" w:rsidP="00CB1D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D15">
        <w:rPr>
          <w:rFonts w:ascii="等线" w:eastAsia="等线" w:hAnsi="等线"/>
          <w:b/>
          <w:sz w:val="24"/>
        </w:rPr>
        <w:t>Education</w:t>
      </w:r>
    </w:p>
    <w:p w14:paraId="0C935839" w14:textId="77777777" w:rsidR="00CB1D15" w:rsidRDefault="00CB1D15" w:rsidP="00CB1D15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New York University School of Law, LL.M., Hauser Global Scholar, 2020</w:t>
      </w:r>
    </w:p>
    <w:p w14:paraId="15B30174" w14:textId="77777777" w:rsidR="00CB1D15" w:rsidRDefault="00CB1D15" w:rsidP="00CB1D15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Peking University Law School, LL.M., 2013</w:t>
      </w:r>
    </w:p>
    <w:p w14:paraId="6705EDE8" w14:textId="77777777" w:rsidR="00CB1D15" w:rsidRDefault="00CB1D15" w:rsidP="00CB1D15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Peking University National School of Development, Bachelor of Economics, 2011</w:t>
      </w:r>
    </w:p>
    <w:p w14:paraId="64DAE552" w14:textId="77777777" w:rsidR="00CB1D15" w:rsidRDefault="00CB1D15" w:rsidP="00CB1D15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Peking University Law School, LL.B., 2011</w:t>
      </w:r>
    </w:p>
    <w:p w14:paraId="1A1AD8C6" w14:textId="77777777" w:rsidR="00CB1D15" w:rsidRDefault="00CB1D15" w:rsidP="00CB1D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D15">
        <w:rPr>
          <w:rFonts w:ascii="等线" w:eastAsia="等线" w:hAnsi="等线"/>
          <w:b/>
          <w:sz w:val="24"/>
        </w:rPr>
        <w:t>Professional Qualification</w:t>
      </w:r>
    </w:p>
    <w:p w14:paraId="3D10BCA6" w14:textId="77777777" w:rsidR="00CB1D15" w:rsidRDefault="00CB1D15" w:rsidP="00CB1D15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Admitted to practice in the PRC</w:t>
      </w:r>
    </w:p>
    <w:p w14:paraId="125EE793" w14:textId="77777777" w:rsidR="00CB1D15" w:rsidRDefault="00CB1D15" w:rsidP="00CB1D1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B1D15">
        <w:rPr>
          <w:rFonts w:ascii="等线" w:eastAsia="等线" w:hAnsi="等线"/>
          <w:b/>
          <w:sz w:val="24"/>
        </w:rPr>
        <w:t>Professional Background</w:t>
      </w:r>
    </w:p>
    <w:p w14:paraId="5567FC3C" w14:textId="5DE6B636" w:rsidR="00686369" w:rsidRPr="00CB1D15" w:rsidRDefault="00CB1D15" w:rsidP="00CB1D15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CB1D15">
        <w:rPr>
          <w:rFonts w:ascii="等线" w:eastAsia="等线" w:hAnsi="Times New Roman"/>
          <w:color w:val="000000"/>
        </w:rPr>
        <w:t>Mr. Huang joined Fangda in 2015. Before joining the firm, he worked at another first-tier PRC law firm in Beijing.</w:t>
      </w:r>
    </w:p>
    <w:sectPr w:rsidR="00686369" w:rsidRPr="00CB1D1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4FFE"/>
    <w:multiLevelType w:val="singleLevel"/>
    <w:tmpl w:val="842AB7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6C1847"/>
    <w:multiLevelType w:val="singleLevel"/>
    <w:tmpl w:val="B3486AE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9B6C19"/>
    <w:multiLevelType w:val="singleLevel"/>
    <w:tmpl w:val="82206E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DA62D2B"/>
    <w:multiLevelType w:val="singleLevel"/>
    <w:tmpl w:val="D45E9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0AE7B27"/>
    <w:multiLevelType w:val="singleLevel"/>
    <w:tmpl w:val="F70407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0F460A6"/>
    <w:multiLevelType w:val="singleLevel"/>
    <w:tmpl w:val="7FDA44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4784F18"/>
    <w:multiLevelType w:val="singleLevel"/>
    <w:tmpl w:val="4F54B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38C2CB4"/>
    <w:multiLevelType w:val="singleLevel"/>
    <w:tmpl w:val="EDD0D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35861B38"/>
    <w:multiLevelType w:val="singleLevel"/>
    <w:tmpl w:val="7E9492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41E03B0"/>
    <w:multiLevelType w:val="singleLevel"/>
    <w:tmpl w:val="E550B6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80249D"/>
    <w:multiLevelType w:val="singleLevel"/>
    <w:tmpl w:val="3CFE3E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5097B97"/>
    <w:multiLevelType w:val="singleLevel"/>
    <w:tmpl w:val="BBE027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5293EE0"/>
    <w:multiLevelType w:val="singleLevel"/>
    <w:tmpl w:val="33F219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63C01F2"/>
    <w:multiLevelType w:val="singleLevel"/>
    <w:tmpl w:val="CF3E0A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B92B83"/>
    <w:multiLevelType w:val="singleLevel"/>
    <w:tmpl w:val="D8086D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90307F2"/>
    <w:multiLevelType w:val="singleLevel"/>
    <w:tmpl w:val="63AAF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F870C02"/>
    <w:multiLevelType w:val="singleLevel"/>
    <w:tmpl w:val="54FCD2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60172063"/>
    <w:multiLevelType w:val="singleLevel"/>
    <w:tmpl w:val="B950AD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6CFB175E"/>
    <w:multiLevelType w:val="singleLevel"/>
    <w:tmpl w:val="45100A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70B47FF8"/>
    <w:multiLevelType w:val="singleLevel"/>
    <w:tmpl w:val="EDD0D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71CF614E"/>
    <w:multiLevelType w:val="singleLevel"/>
    <w:tmpl w:val="DE0C34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BC17074"/>
    <w:multiLevelType w:val="singleLevel"/>
    <w:tmpl w:val="73AAD2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C6F0171"/>
    <w:multiLevelType w:val="singleLevel"/>
    <w:tmpl w:val="4FACDB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20"/>
  </w:num>
  <w:num w:numId="5">
    <w:abstractNumId w:val="18"/>
  </w:num>
  <w:num w:numId="6">
    <w:abstractNumId w:val="4"/>
  </w:num>
  <w:num w:numId="7">
    <w:abstractNumId w:val="19"/>
  </w:num>
  <w:num w:numId="8">
    <w:abstractNumId w:val="15"/>
  </w:num>
  <w:num w:numId="9">
    <w:abstractNumId w:val="23"/>
  </w:num>
  <w:num w:numId="10">
    <w:abstractNumId w:val="0"/>
  </w:num>
  <w:num w:numId="11">
    <w:abstractNumId w:val="12"/>
  </w:num>
  <w:num w:numId="12">
    <w:abstractNumId w:val="22"/>
  </w:num>
  <w:num w:numId="13">
    <w:abstractNumId w:val="3"/>
  </w:num>
  <w:num w:numId="14">
    <w:abstractNumId w:val="2"/>
  </w:num>
  <w:num w:numId="15">
    <w:abstractNumId w:val="14"/>
  </w:num>
  <w:num w:numId="16">
    <w:abstractNumId w:val="17"/>
  </w:num>
  <w:num w:numId="17">
    <w:abstractNumId w:val="24"/>
  </w:num>
  <w:num w:numId="18">
    <w:abstractNumId w:val="1"/>
  </w:num>
  <w:num w:numId="19">
    <w:abstractNumId w:val="11"/>
  </w:num>
  <w:num w:numId="20">
    <w:abstractNumId w:val="16"/>
  </w:num>
  <w:num w:numId="21">
    <w:abstractNumId w:val="13"/>
  </w:num>
  <w:num w:numId="22">
    <w:abstractNumId w:val="6"/>
  </w:num>
  <w:num w:numId="23">
    <w:abstractNumId w:val="9"/>
  </w:num>
  <w:num w:numId="24">
    <w:abstractNumId w:val="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B1D15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B1D1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B1D1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35B1971-B44C-40F9-8F58-D7E97E06F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2752</Characters>
  <Application>Microsoft Office Word</Application>
  <DocSecurity>0</DocSecurity>
  <Lines>22</Lines>
  <Paragraphs>6</Paragraphs>
  <ScaleCrop>false</ScaleCrop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2026-05-17T00:15:00Z</dcterms:created>
  <dcterms:modified xsi:type="dcterms:W3CDTF">2026-05-17T00:15:00Z</dcterms:modified>
</cp:coreProperties>
</file>