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EE52015" w:rsidR="0049405C" w:rsidRPr="00C24D79" w:rsidRDefault="00E525AF" w:rsidP="00E525AF">
            <w:pPr>
              <w:spacing w:line="720" w:lineRule="auto"/>
              <w:rPr>
                <w:rFonts w:eastAsiaTheme="minorHAnsi"/>
                <w:color w:val="545551"/>
              </w:rPr>
            </w:pPr>
            <w:bookmarkStart w:id="0" w:name="xingming"/>
            <w:bookmarkStart w:id="1" w:name="_GoBack"/>
            <w:bookmarkEnd w:id="1"/>
            <w:r w:rsidRPr="00E525AF">
              <w:rPr>
                <w:rFonts w:ascii="等线" w:eastAsia="等线" w:hAnsi="Times New Roman"/>
                <w:b/>
                <w:color w:val="000000"/>
                <w:sz w:val="48"/>
              </w:rPr>
              <w:t>WILLIAM (WEIGUO) YANG</w:t>
            </w:r>
            <w:bookmarkEnd w:id="0"/>
          </w:p>
          <w:p w14:paraId="706EB16B" w14:textId="470CAC95" w:rsidR="0049405C" w:rsidRPr="00C24D79" w:rsidRDefault="00E525AF" w:rsidP="00E525AF">
            <w:pPr>
              <w:spacing w:line="360" w:lineRule="auto"/>
              <w:rPr>
                <w:rFonts w:eastAsiaTheme="minorHAnsi"/>
                <w:b/>
                <w:bCs/>
                <w:color w:val="545551"/>
              </w:rPr>
            </w:pPr>
            <w:bookmarkStart w:id="2" w:name="didian"/>
            <w:r w:rsidRPr="00E525AF">
              <w:rPr>
                <w:rFonts w:ascii="等线" w:eastAsia="等线" w:hAnsi="Times New Roman"/>
                <w:b/>
                <w:bCs/>
                <w:color w:val="000000"/>
              </w:rPr>
              <w:t>Partner</w:t>
            </w:r>
            <w:r w:rsidRPr="00E525AF">
              <w:rPr>
                <w:rFonts w:ascii="等线" w:eastAsia="等线" w:hAnsi="Times New Roman"/>
                <w:b/>
                <w:bCs/>
                <w:color w:val="000000"/>
              </w:rPr>
              <w:t>·</w:t>
            </w:r>
            <w:r w:rsidRPr="00E525AF">
              <w:rPr>
                <w:rFonts w:ascii="等线" w:eastAsia="等线" w:hAnsi="Times New Roman"/>
                <w:b/>
                <w:bCs/>
                <w:color w:val="000000"/>
              </w:rPr>
              <w:t>Beijing</w:t>
            </w:r>
            <w:bookmarkEnd w:id="2"/>
          </w:p>
          <w:p w14:paraId="6199424A" w14:textId="4C4599A2" w:rsidR="0049405C" w:rsidRPr="00C24D79" w:rsidRDefault="00E525AF" w:rsidP="00E525AF">
            <w:pPr>
              <w:spacing w:line="360" w:lineRule="auto"/>
              <w:rPr>
                <w:rFonts w:eastAsiaTheme="minorHAnsi"/>
                <w:color w:val="545551"/>
              </w:rPr>
            </w:pPr>
            <w:bookmarkStart w:id="3" w:name="dianhua"/>
            <w:r w:rsidRPr="00E525AF">
              <w:rPr>
                <w:rFonts w:ascii="等线" w:eastAsia="等线" w:hAnsi="Times New Roman"/>
                <w:color w:val="000000"/>
              </w:rPr>
              <w:t xml:space="preserve">+86 10 5769 5625 </w:t>
            </w:r>
            <w:bookmarkEnd w:id="3"/>
          </w:p>
          <w:p w14:paraId="4F910ACA" w14:textId="2523BCF6" w:rsidR="0049405C" w:rsidRPr="00C24D79" w:rsidRDefault="00E525AF" w:rsidP="00E525AF">
            <w:pPr>
              <w:spacing w:line="360" w:lineRule="auto"/>
              <w:rPr>
                <w:rFonts w:eastAsiaTheme="minorHAnsi"/>
                <w:color w:val="000000"/>
              </w:rPr>
            </w:pPr>
            <w:bookmarkStart w:id="4" w:name="youxiang"/>
            <w:r w:rsidRPr="00E525AF">
              <w:rPr>
                <w:rFonts w:ascii="等线" w:eastAsia="等线" w:hAnsi="Times New Roman"/>
                <w:color w:val="000000"/>
              </w:rPr>
              <w:t>weiguo.yang@fangdalaw.com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56E67FCB" w:rsidR="0049405C" w:rsidRPr="00C24D79" w:rsidRDefault="00E525AF"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63C16596" wp14:editId="316018B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429F73BA" w:rsidR="009465FB" w:rsidRPr="00C24D79" w:rsidRDefault="00E525AF" w:rsidP="007177F3">
            <w:pPr>
              <w:rPr>
                <w:rFonts w:eastAsiaTheme="minorHAnsi"/>
                <w:color w:val="000000"/>
                <w:szCs w:val="21"/>
              </w:rPr>
            </w:pPr>
            <w:bookmarkStart w:id="6" w:name="zhiyelingyu"/>
            <w:r w:rsidRPr="00E525AF">
              <w:rPr>
                <w:rFonts w:ascii="等线" w:eastAsia="等线" w:hAnsi="Times New Roman"/>
                <w:color w:val="000000"/>
                <w:szCs w:val="21"/>
              </w:rPr>
              <w:t>WILLIAM YANG SPECIALIZES IN COMPLEX COMMERCIAL AND FINANCIAL LITIGATION, ARBITRATION AND ALTERNATIVE DISPUTE RESOLUTION, DISPOSAL OF NON-PERFORMING ASSETS, LIQUIDATION AND RESTRUCTURING. THE PRIMARY SCOPE OF HIS PRACTICE INCLUDES: FINANCIAL DISPUTES CONCERNING SECURITIES, FUND, BANKING, TRUST,  AND ASSET MANAGEMENT, INVESTMENT, COMPANY EQUITY AND CONTROL DISPUTES, JOINT VENTURE AND M&amp;A DISPUTES, INTERNATIONAL TRADE DISPUTES, REAL ESTATE AND CONSTRUCTION ENGINEERING DISPUTES, WITH THE TOTAL AMOUNT IN DISPUTES EXCEEDING CNY 100 BILLION.</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28E32DA" w14:textId="77777777" w:rsidR="00E525AF"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855FE6B" w14:textId="77777777" w:rsidR="00E525AF" w:rsidRDefault="00E525AF" w:rsidP="00E525AF">
      <w:pPr>
        <w:pStyle w:val="af5"/>
        <w:spacing w:after="0" w:line="480" w:lineRule="auto"/>
        <w:rPr>
          <w:rFonts w:ascii="等线" w:eastAsia="等线" w:hAnsi="等线"/>
          <w:b/>
          <w:sz w:val="24"/>
        </w:rPr>
      </w:pPr>
      <w:r w:rsidRPr="00E525AF">
        <w:rPr>
          <w:rFonts w:ascii="等线" w:eastAsia="等线" w:hAnsi="等线"/>
          <w:b/>
          <w:sz w:val="24"/>
        </w:rPr>
        <w:t>REPRESENTATIVE MATTERS AND CASES</w:t>
      </w:r>
    </w:p>
    <w:p w14:paraId="6BD7FCA5" w14:textId="77777777" w:rsidR="00E525AF" w:rsidRDefault="00E525AF" w:rsidP="00E525AF">
      <w:pPr>
        <w:pStyle w:val="af5"/>
        <w:spacing w:before="120"/>
        <w:rPr>
          <w:rFonts w:ascii="等线" w:eastAsia="等线" w:hAnsi="Times New Roman"/>
          <w:color w:val="000000"/>
        </w:rPr>
      </w:pPr>
      <w:r w:rsidRPr="00E525AF">
        <w:rPr>
          <w:rFonts w:ascii="等线" w:eastAsia="等线" w:hAnsi="Times New Roman"/>
          <w:color w:val="000000"/>
        </w:rPr>
        <w:t>Landmark Cases</w:t>
      </w:r>
    </w:p>
    <w:p w14:paraId="3C757E36" w14:textId="77777777" w:rsidR="00E525AF" w:rsidRDefault="00E525AF" w:rsidP="00E525AF">
      <w:pPr>
        <w:pStyle w:val="af5"/>
        <w:numPr>
          <w:ilvl w:val="0"/>
          <w:numId w:val="4"/>
        </w:numPr>
        <w:spacing w:before="120"/>
        <w:ind w:left="690" w:hanging="240"/>
        <w:rPr>
          <w:rFonts w:ascii="等线" w:eastAsia="等线" w:hAnsi="Times New Roman"/>
          <w:color w:val="000000"/>
        </w:rPr>
      </w:pPr>
      <w:r w:rsidRPr="00E525AF">
        <w:rPr>
          <w:rFonts w:ascii="等线" w:eastAsia="等线" w:hAnsi="Times New Roman"/>
          <w:color w:val="000000"/>
        </w:rPr>
        <w:t>Represented a well-known financial institution in the first Chinese case of false statements in the interbank bond market and the No. 1 case accepted by the Beijing Financial Court since its establishment (recognized as one of the "Top Ten Cases of the PRC People's Courts in 2023").</w:t>
      </w:r>
    </w:p>
    <w:p w14:paraId="12E5F3E7" w14:textId="77777777" w:rsidR="00E525AF" w:rsidRDefault="00E525AF" w:rsidP="00E525AF">
      <w:pPr>
        <w:pStyle w:val="af5"/>
        <w:numPr>
          <w:ilvl w:val="0"/>
          <w:numId w:val="5"/>
        </w:numPr>
        <w:spacing w:before="120"/>
        <w:ind w:left="690" w:hanging="240"/>
        <w:rPr>
          <w:rFonts w:ascii="等线" w:eastAsia="等线" w:hAnsi="Times New Roman"/>
          <w:color w:val="000000"/>
        </w:rPr>
      </w:pPr>
      <w:r w:rsidRPr="00E525AF">
        <w:rPr>
          <w:rFonts w:ascii="等线" w:eastAsia="等线" w:hAnsi="Times New Roman"/>
          <w:color w:val="000000"/>
        </w:rPr>
        <w:t>Represented multiple well-known securities companies, commercial banks, credit rating agencies, and other securities/bond intermediaries in dozens of notable cases of securities false statements in financial and capital market, including the cases concerning Wuyang Bond, Huachen Bond, Shengtong Bond, and Dajichuang Bond, etc., including China</w:t>
      </w:r>
      <w:r w:rsidRPr="00E525AF">
        <w:rPr>
          <w:rFonts w:ascii="等线" w:eastAsia="等线" w:hAnsi="Times New Roman"/>
          <w:color w:val="000000"/>
        </w:rPr>
        <w:t>’</w:t>
      </w:r>
      <w:r w:rsidRPr="00E525AF">
        <w:rPr>
          <w:rFonts w:ascii="等线" w:eastAsia="等线" w:hAnsi="Times New Roman"/>
          <w:color w:val="000000"/>
        </w:rPr>
        <w:t>s first internal recourse case among securities intermediaries and the first series of securities misrepresentation arbitration cases.</w:t>
      </w:r>
    </w:p>
    <w:p w14:paraId="5276D495" w14:textId="77777777" w:rsidR="00E525AF" w:rsidRDefault="00E525AF" w:rsidP="00E525AF">
      <w:pPr>
        <w:pStyle w:val="af5"/>
        <w:numPr>
          <w:ilvl w:val="0"/>
          <w:numId w:val="6"/>
        </w:numPr>
        <w:spacing w:before="120"/>
        <w:ind w:left="690" w:hanging="240"/>
        <w:rPr>
          <w:rFonts w:ascii="等线" w:eastAsia="等线" w:hAnsi="Times New Roman"/>
          <w:color w:val="000000"/>
        </w:rPr>
      </w:pPr>
      <w:r w:rsidRPr="00E525AF">
        <w:rPr>
          <w:rFonts w:ascii="等线" w:eastAsia="等线" w:hAnsi="Times New Roman"/>
          <w:color w:val="000000"/>
        </w:rPr>
        <w:t>Represented Wahaha in its disputes against Danone, which was China's largest series of joint venture and corporate control disputes, involving more than 50 litigation and arbitration proceedings across 7 jurisdictions with an amount in dispute exceeding USD 5 billion.</w:t>
      </w:r>
    </w:p>
    <w:p w14:paraId="56F1AC4A" w14:textId="77777777" w:rsidR="00E525AF" w:rsidRDefault="00E525AF" w:rsidP="00E525AF">
      <w:pPr>
        <w:pStyle w:val="af5"/>
        <w:numPr>
          <w:ilvl w:val="0"/>
          <w:numId w:val="7"/>
        </w:numPr>
        <w:spacing w:before="120"/>
        <w:ind w:left="690" w:hanging="240"/>
        <w:rPr>
          <w:rFonts w:ascii="等线" w:eastAsia="等线" w:hAnsi="Times New Roman"/>
          <w:color w:val="000000"/>
        </w:rPr>
      </w:pPr>
      <w:r w:rsidRPr="00E525AF">
        <w:rPr>
          <w:rFonts w:ascii="等线" w:eastAsia="等线" w:hAnsi="Times New Roman"/>
          <w:color w:val="000000"/>
        </w:rPr>
        <w:t>Represented Hubei Gezhouba Sanlian Industrial Co., Ltd. and Hubei Pinghu Cruise Co., Ltd. in a product liability dispute against Robinson Helicopter Company, Inc. The case was the first PRC court judgment recognized and enforced by a U.S. court in history.</w:t>
      </w:r>
    </w:p>
    <w:p w14:paraId="03B96653" w14:textId="77777777" w:rsidR="00E525AF" w:rsidRDefault="00E525AF" w:rsidP="00E525AF">
      <w:pPr>
        <w:pStyle w:val="af5"/>
        <w:numPr>
          <w:ilvl w:val="0"/>
          <w:numId w:val="8"/>
        </w:numPr>
        <w:spacing w:before="120"/>
        <w:ind w:left="690" w:hanging="240"/>
        <w:rPr>
          <w:rFonts w:ascii="等线" w:eastAsia="等线" w:hAnsi="Times New Roman"/>
          <w:color w:val="000000"/>
        </w:rPr>
      </w:pPr>
      <w:r w:rsidRPr="00E525AF">
        <w:rPr>
          <w:rFonts w:ascii="等线" w:eastAsia="等线" w:hAnsi="Times New Roman"/>
          <w:color w:val="000000"/>
        </w:rPr>
        <w:t>Represented a well-known cross-border enterprise group in a complex equity and company control dispute against its business partner, with an amount in dispute around CNY 30 billion.</w:t>
      </w:r>
    </w:p>
    <w:p w14:paraId="016864A7" w14:textId="77777777" w:rsidR="00E525AF" w:rsidRDefault="00E525AF" w:rsidP="00E525AF">
      <w:pPr>
        <w:pStyle w:val="af5"/>
        <w:numPr>
          <w:ilvl w:val="0"/>
          <w:numId w:val="9"/>
        </w:numPr>
        <w:spacing w:before="120"/>
        <w:ind w:left="690" w:hanging="240"/>
        <w:rPr>
          <w:rFonts w:ascii="等线" w:eastAsia="等线" w:hAnsi="Times New Roman"/>
          <w:color w:val="000000"/>
        </w:rPr>
      </w:pPr>
      <w:r w:rsidRPr="00E525AF">
        <w:rPr>
          <w:rFonts w:ascii="等线" w:eastAsia="等线" w:hAnsi="Times New Roman"/>
          <w:color w:val="000000"/>
        </w:rPr>
        <w:t>Represented a private equity fund investor in China</w:t>
      </w:r>
      <w:r w:rsidRPr="00E525AF">
        <w:rPr>
          <w:rFonts w:ascii="等线" w:eastAsia="等线" w:hAnsi="Times New Roman"/>
          <w:color w:val="000000"/>
        </w:rPr>
        <w:t>’</w:t>
      </w:r>
      <w:r w:rsidRPr="00E525AF">
        <w:rPr>
          <w:rFonts w:ascii="等线" w:eastAsia="等线" w:hAnsi="Times New Roman"/>
          <w:color w:val="000000"/>
        </w:rPr>
        <w:t>s first subrogation arbitration case by a limited partner against a third party outside the partnership. The case is a landmark case about extension of the effect of arbitration agreement.</w:t>
      </w:r>
    </w:p>
    <w:p w14:paraId="3C52BCC7" w14:textId="77777777" w:rsidR="00E525AF" w:rsidRDefault="00E525AF" w:rsidP="00E525AF">
      <w:pPr>
        <w:pStyle w:val="af5"/>
        <w:numPr>
          <w:ilvl w:val="0"/>
          <w:numId w:val="10"/>
        </w:numPr>
        <w:spacing w:before="120"/>
        <w:ind w:left="690" w:hanging="240"/>
        <w:rPr>
          <w:rFonts w:ascii="等线" w:eastAsia="等线" w:hAnsi="Times New Roman"/>
          <w:color w:val="000000"/>
        </w:rPr>
      </w:pPr>
      <w:r w:rsidRPr="00E525AF">
        <w:rPr>
          <w:rFonts w:ascii="等线" w:eastAsia="等线" w:hAnsi="Times New Roman"/>
          <w:color w:val="000000"/>
        </w:rPr>
        <w:t>Represented a securities company in China's first case initiated by subscribers against managers of asset-backed securities for their alleged negligence.</w:t>
      </w:r>
    </w:p>
    <w:p w14:paraId="50902A7F" w14:textId="77777777" w:rsidR="00E525AF" w:rsidRDefault="00E525AF" w:rsidP="00E525AF">
      <w:pPr>
        <w:pStyle w:val="af5"/>
        <w:spacing w:before="120"/>
        <w:rPr>
          <w:rFonts w:ascii="等线" w:eastAsia="等线" w:hAnsi="Times New Roman"/>
          <w:color w:val="000000"/>
        </w:rPr>
      </w:pPr>
      <w:r w:rsidRPr="00E525AF">
        <w:rPr>
          <w:rFonts w:ascii="等线" w:eastAsia="等线" w:hAnsi="Times New Roman"/>
          <w:color w:val="000000"/>
        </w:rPr>
        <w:t>Financial Disputes and Disposal of Non-Performing Assets</w:t>
      </w:r>
    </w:p>
    <w:p w14:paraId="1D0E408B" w14:textId="77777777" w:rsidR="00E525AF" w:rsidRDefault="00E525AF" w:rsidP="00E525AF">
      <w:pPr>
        <w:pStyle w:val="af5"/>
        <w:numPr>
          <w:ilvl w:val="0"/>
          <w:numId w:val="11"/>
        </w:numPr>
        <w:spacing w:before="120"/>
        <w:ind w:left="690" w:hanging="240"/>
        <w:rPr>
          <w:rFonts w:ascii="等线" w:eastAsia="等线" w:hAnsi="Times New Roman"/>
          <w:color w:val="000000"/>
        </w:rPr>
      </w:pPr>
      <w:r w:rsidRPr="00E525AF">
        <w:rPr>
          <w:rFonts w:ascii="等线" w:eastAsia="等线" w:hAnsi="Times New Roman"/>
          <w:color w:val="000000"/>
        </w:rPr>
        <w:t>Represented multiple well-known listed companies, capital market intermediaries or corporate directors, supervisors, and senior management in securities-related proceedings before China Security Regulatory Commission and its local bureaus including administrative penalty hearings, administrative reconsideration, etc.</w:t>
      </w:r>
    </w:p>
    <w:p w14:paraId="0560E827" w14:textId="77777777" w:rsidR="00E525AF" w:rsidRDefault="00E525AF" w:rsidP="00E525AF">
      <w:pPr>
        <w:pStyle w:val="af5"/>
        <w:numPr>
          <w:ilvl w:val="0"/>
          <w:numId w:val="12"/>
        </w:numPr>
        <w:spacing w:before="120"/>
        <w:ind w:left="690" w:hanging="240"/>
        <w:rPr>
          <w:rFonts w:ascii="等线" w:eastAsia="等线" w:hAnsi="Times New Roman"/>
          <w:color w:val="000000"/>
        </w:rPr>
      </w:pPr>
      <w:r w:rsidRPr="00E525AF">
        <w:rPr>
          <w:rFonts w:ascii="等线" w:eastAsia="等线" w:hAnsi="Times New Roman"/>
          <w:color w:val="000000"/>
        </w:rPr>
        <w:t>Represented a number of reputable banks and trusts, funds or investment institutions in multiple litigation and arbitration cases in relation to financial disputes, enforcement proceedings, bankruptcy proceedings or projects for the disposal of non-performing assets, involving crucial and complex work in all stages including judicial appraisal, auction, sale, offsetting debts, enforcement objection, etc.</w:t>
      </w:r>
    </w:p>
    <w:p w14:paraId="6EB1BFE4" w14:textId="77777777" w:rsidR="00E525AF" w:rsidRDefault="00E525AF" w:rsidP="00E525AF">
      <w:pPr>
        <w:pStyle w:val="af5"/>
        <w:numPr>
          <w:ilvl w:val="0"/>
          <w:numId w:val="13"/>
        </w:numPr>
        <w:spacing w:before="120"/>
        <w:ind w:left="690" w:hanging="240"/>
        <w:rPr>
          <w:rFonts w:ascii="等线" w:eastAsia="等线" w:hAnsi="Times New Roman"/>
          <w:color w:val="000000"/>
        </w:rPr>
      </w:pPr>
      <w:r w:rsidRPr="00E525AF">
        <w:rPr>
          <w:rFonts w:ascii="等线" w:eastAsia="等线" w:hAnsi="Times New Roman"/>
          <w:color w:val="000000"/>
        </w:rPr>
        <w:t>Represented a well-known foreign financial institution in suitability obligation litigation proceedings brought by investors regarding financial product sales, and obtained a favorable judgment fully exonerating the financial institution. The case is a representative case defining the boundary of financial institutions' suitability obligations since the Minutes of the National Court Work Conference for Civil and Commercial Trials came into effect.</w:t>
      </w:r>
    </w:p>
    <w:p w14:paraId="64EE0C8E" w14:textId="77777777" w:rsidR="00E525AF" w:rsidRDefault="00E525AF" w:rsidP="00E525AF">
      <w:pPr>
        <w:pStyle w:val="af5"/>
        <w:numPr>
          <w:ilvl w:val="0"/>
          <w:numId w:val="14"/>
        </w:numPr>
        <w:spacing w:before="120"/>
        <w:ind w:left="690" w:hanging="240"/>
        <w:rPr>
          <w:rFonts w:ascii="等线" w:eastAsia="等线" w:hAnsi="Times New Roman"/>
          <w:color w:val="000000"/>
        </w:rPr>
      </w:pPr>
      <w:r w:rsidRPr="00E525AF">
        <w:rPr>
          <w:rFonts w:ascii="等线" w:eastAsia="等线" w:hAnsi="Times New Roman"/>
          <w:color w:val="000000"/>
        </w:rPr>
        <w:t>Represented a large financial institution in initiating a special procedure for security interests against a guarantor, obtained a favorable court ruling, and conducted judicial auction and disposal of the listed company's shares pledged by the guarantor.</w:t>
      </w:r>
    </w:p>
    <w:p w14:paraId="6BD09CCE" w14:textId="77777777" w:rsidR="00E525AF" w:rsidRDefault="00E525AF" w:rsidP="00E525AF">
      <w:pPr>
        <w:pStyle w:val="af5"/>
        <w:numPr>
          <w:ilvl w:val="0"/>
          <w:numId w:val="15"/>
        </w:numPr>
        <w:spacing w:before="120"/>
        <w:ind w:left="690" w:hanging="240"/>
        <w:rPr>
          <w:rFonts w:ascii="等线" w:eastAsia="等线" w:hAnsi="Times New Roman"/>
          <w:color w:val="000000"/>
        </w:rPr>
      </w:pPr>
      <w:r w:rsidRPr="00E525AF">
        <w:rPr>
          <w:rFonts w:ascii="等线" w:eastAsia="等线" w:hAnsi="Times New Roman"/>
          <w:color w:val="000000"/>
        </w:rPr>
        <w:t>Represented a well-known investment institution in valuation adjustment mechanism and performance compensation litigation proceedings before Beijing Intermediate Court, Beijing High Court and the Supreme People's Court, obtaining a full victory with a dispute amount exceeding CNY 1 billion.</w:t>
      </w:r>
    </w:p>
    <w:p w14:paraId="6E9C2D5E" w14:textId="77777777" w:rsidR="00E525AF" w:rsidRDefault="00E525AF" w:rsidP="00E525AF">
      <w:pPr>
        <w:pStyle w:val="af5"/>
        <w:numPr>
          <w:ilvl w:val="0"/>
          <w:numId w:val="16"/>
        </w:numPr>
        <w:spacing w:before="120"/>
        <w:ind w:left="690" w:hanging="240"/>
        <w:rPr>
          <w:rFonts w:ascii="等线" w:eastAsia="等线" w:hAnsi="Times New Roman"/>
          <w:color w:val="000000"/>
        </w:rPr>
      </w:pPr>
      <w:r w:rsidRPr="00E525AF">
        <w:rPr>
          <w:rFonts w:ascii="等线" w:eastAsia="等线" w:hAnsi="Times New Roman"/>
          <w:color w:val="000000"/>
        </w:rPr>
        <w:t>Provided comprehensive legal services in fund disputes to leading private equity clients including but not limited to HongShan Capital, IDG Capital, DCP Capital, Primavera Capital, Goldman Sachs, Carlyle Group, CICC and China Reform, concerning investment/financing and Valuation Adjustment Mechanism disputes, investor suitability disputes, disputes between GP and LP, trust disputes, and fund exit and liquidation, etc.</w:t>
      </w:r>
    </w:p>
    <w:p w14:paraId="1F0479DF" w14:textId="77777777" w:rsidR="00E525AF" w:rsidRDefault="00E525AF" w:rsidP="00E525AF">
      <w:pPr>
        <w:pStyle w:val="af5"/>
        <w:numPr>
          <w:ilvl w:val="0"/>
          <w:numId w:val="17"/>
        </w:numPr>
        <w:spacing w:before="120"/>
        <w:ind w:left="690" w:hanging="240"/>
        <w:rPr>
          <w:rFonts w:ascii="等线" w:eastAsia="等线" w:hAnsi="Times New Roman"/>
          <w:color w:val="000000"/>
        </w:rPr>
      </w:pPr>
      <w:r w:rsidRPr="00E525AF">
        <w:rPr>
          <w:rFonts w:ascii="等线" w:eastAsia="等线" w:hAnsi="Times New Roman"/>
          <w:color w:val="000000"/>
        </w:rPr>
        <w:t>Represented multiple leading asset management companies in complex financial and non-performing assets dispute resolution and judicial disposal projects.</w:t>
      </w:r>
    </w:p>
    <w:p w14:paraId="592DB905" w14:textId="77777777" w:rsidR="00E525AF" w:rsidRDefault="00E525AF" w:rsidP="00E525AF">
      <w:pPr>
        <w:pStyle w:val="af5"/>
        <w:spacing w:before="120"/>
        <w:rPr>
          <w:rFonts w:ascii="等线" w:eastAsia="等线" w:hAnsi="Times New Roman"/>
          <w:color w:val="000000"/>
        </w:rPr>
      </w:pPr>
      <w:r w:rsidRPr="00E525AF">
        <w:rPr>
          <w:rFonts w:ascii="等线" w:eastAsia="等线" w:hAnsi="Times New Roman"/>
          <w:color w:val="000000"/>
        </w:rPr>
        <w:t>Complex Commercial Disputes</w:t>
      </w:r>
    </w:p>
    <w:p w14:paraId="22D491CE" w14:textId="77777777" w:rsidR="00E525AF" w:rsidRDefault="00E525AF" w:rsidP="00E525AF">
      <w:pPr>
        <w:pStyle w:val="af5"/>
        <w:numPr>
          <w:ilvl w:val="0"/>
          <w:numId w:val="18"/>
        </w:numPr>
        <w:spacing w:before="120"/>
        <w:ind w:left="690" w:hanging="240"/>
        <w:rPr>
          <w:rFonts w:ascii="等线" w:eastAsia="等线" w:hAnsi="Times New Roman"/>
          <w:color w:val="000000"/>
        </w:rPr>
      </w:pPr>
      <w:r w:rsidRPr="00E525AF">
        <w:rPr>
          <w:rFonts w:ascii="等线" w:eastAsia="等线" w:hAnsi="Times New Roman"/>
          <w:color w:val="000000"/>
        </w:rPr>
        <w:t>Represented a number of notable enterprises and organizations such as China Reform, China Power Engineering Consulting Group, China Energy Engineering, Sinochem Group, APT Satellite, Beijing Capital Group, BBMG Group, Lei Shing Hong Group, HKEX, and their affiliates in cases concerning investment disputes, corporate and equity disputes, trade disputes, construction engineering disputes, etc.</w:t>
      </w:r>
    </w:p>
    <w:p w14:paraId="414454B7" w14:textId="77777777" w:rsidR="00E525AF" w:rsidRDefault="00E525AF" w:rsidP="00E525AF">
      <w:pPr>
        <w:pStyle w:val="af5"/>
        <w:numPr>
          <w:ilvl w:val="0"/>
          <w:numId w:val="19"/>
        </w:numPr>
        <w:spacing w:before="120"/>
        <w:ind w:left="690" w:hanging="240"/>
        <w:rPr>
          <w:rFonts w:ascii="等线" w:eastAsia="等线" w:hAnsi="Times New Roman"/>
          <w:color w:val="000000"/>
        </w:rPr>
      </w:pPr>
      <w:r w:rsidRPr="00E525AF">
        <w:rPr>
          <w:rFonts w:ascii="等线" w:eastAsia="等线" w:hAnsi="Times New Roman"/>
          <w:color w:val="000000"/>
        </w:rPr>
        <w:t>Represented China Development Bank in a series of litigation and arbitration cases concerning cross-border independent bank guarantee disputes with a total dispute amount exceeding USD 70 million.</w:t>
      </w:r>
    </w:p>
    <w:p w14:paraId="66EC266B" w14:textId="77777777" w:rsidR="00E525AF" w:rsidRDefault="00E525AF" w:rsidP="00E525AF">
      <w:pPr>
        <w:pStyle w:val="af5"/>
        <w:numPr>
          <w:ilvl w:val="0"/>
          <w:numId w:val="20"/>
        </w:numPr>
        <w:spacing w:before="120"/>
        <w:ind w:left="690" w:hanging="240"/>
        <w:rPr>
          <w:rFonts w:ascii="等线" w:eastAsia="等线" w:hAnsi="Times New Roman"/>
          <w:color w:val="000000"/>
        </w:rPr>
      </w:pPr>
      <w:r w:rsidRPr="00E525AF">
        <w:rPr>
          <w:rFonts w:ascii="等线" w:eastAsia="等线" w:hAnsi="Times New Roman"/>
          <w:color w:val="000000"/>
        </w:rPr>
        <w:t>Represented a reputable online gaming company in the first batch of Chinese litigation cases involving the Foreign Investment Law after it came into effect concerning share entrustment agreements and shareholder qualification disputes, with a dispute amount in hundreds of millions of CNY.</w:t>
      </w:r>
    </w:p>
    <w:p w14:paraId="13ED50F2" w14:textId="77777777" w:rsidR="00E525AF" w:rsidRDefault="00E525AF" w:rsidP="00E525AF">
      <w:pPr>
        <w:pStyle w:val="af5"/>
        <w:numPr>
          <w:ilvl w:val="0"/>
          <w:numId w:val="21"/>
        </w:numPr>
        <w:spacing w:before="120"/>
        <w:ind w:left="690" w:hanging="240"/>
        <w:rPr>
          <w:rFonts w:ascii="等线" w:eastAsia="等线" w:hAnsi="Times New Roman"/>
          <w:color w:val="000000"/>
        </w:rPr>
      </w:pPr>
      <w:r w:rsidRPr="00E525AF">
        <w:rPr>
          <w:rFonts w:ascii="等线" w:eastAsia="等线" w:hAnsi="Times New Roman"/>
          <w:color w:val="000000"/>
        </w:rPr>
        <w:t>Represented a minority shareholder in China</w:t>
      </w:r>
      <w:r w:rsidRPr="00E525AF">
        <w:rPr>
          <w:rFonts w:ascii="等线" w:eastAsia="等线" w:hAnsi="Times New Roman"/>
          <w:color w:val="000000"/>
        </w:rPr>
        <w:t>’</w:t>
      </w:r>
      <w:r w:rsidRPr="00E525AF">
        <w:rPr>
          <w:rFonts w:ascii="等线" w:eastAsia="等线" w:hAnsi="Times New Roman"/>
          <w:color w:val="000000"/>
        </w:rPr>
        <w:t>s first case involving dissolution of the controlling shareholder of a listed company arising from shareholders</w:t>
      </w:r>
      <w:r w:rsidRPr="00E525AF">
        <w:rPr>
          <w:rFonts w:ascii="等线" w:eastAsia="等线" w:hAnsi="Times New Roman"/>
          <w:color w:val="000000"/>
        </w:rPr>
        <w:t>’</w:t>
      </w:r>
      <w:r w:rsidRPr="00E525AF">
        <w:rPr>
          <w:rFonts w:ascii="等线" w:eastAsia="等线" w:hAnsi="Times New Roman"/>
          <w:color w:val="000000"/>
        </w:rPr>
        <w:t xml:space="preserve"> lack of collaboration</w:t>
      </w:r>
    </w:p>
    <w:p w14:paraId="40E7D09D" w14:textId="77777777" w:rsidR="00E525AF" w:rsidRDefault="00E525AF" w:rsidP="00E525AF">
      <w:pPr>
        <w:pStyle w:val="af5"/>
        <w:numPr>
          <w:ilvl w:val="0"/>
          <w:numId w:val="22"/>
        </w:numPr>
        <w:spacing w:before="120"/>
        <w:ind w:left="690" w:hanging="240"/>
        <w:rPr>
          <w:rFonts w:ascii="等线" w:eastAsia="等线" w:hAnsi="Times New Roman"/>
          <w:color w:val="000000"/>
        </w:rPr>
      </w:pPr>
      <w:r w:rsidRPr="00E525AF">
        <w:rPr>
          <w:rFonts w:ascii="等线" w:eastAsia="等线" w:hAnsi="Times New Roman"/>
          <w:color w:val="000000"/>
        </w:rPr>
        <w:t>Represented a large listed company in a series of litigations against a real estate company concerning joint real estate development disputes with an amount in dispute of over CNY 2 billion.</w:t>
      </w:r>
    </w:p>
    <w:p w14:paraId="693D6732" w14:textId="77777777" w:rsidR="00E525AF" w:rsidRDefault="00E525AF" w:rsidP="00E525AF">
      <w:pPr>
        <w:pStyle w:val="af5"/>
        <w:numPr>
          <w:ilvl w:val="0"/>
          <w:numId w:val="23"/>
        </w:numPr>
        <w:spacing w:before="120"/>
        <w:ind w:left="690" w:hanging="240"/>
        <w:rPr>
          <w:rFonts w:ascii="等线" w:eastAsia="等线" w:hAnsi="Times New Roman"/>
          <w:color w:val="000000"/>
        </w:rPr>
      </w:pPr>
      <w:r w:rsidRPr="00E525AF">
        <w:rPr>
          <w:rFonts w:ascii="等线" w:eastAsia="等线" w:hAnsi="Times New Roman"/>
          <w:color w:val="000000"/>
        </w:rPr>
        <w:t>Represented an A+H share listed company in a dispute against a large SOE arising out of a real estate purchase agreement with an amount in dispute in the hundreds of millions of CNY.</w:t>
      </w:r>
    </w:p>
    <w:p w14:paraId="78A872B5" w14:textId="77777777" w:rsidR="00E525AF" w:rsidRDefault="00E525AF" w:rsidP="00E525AF">
      <w:pPr>
        <w:pStyle w:val="af5"/>
        <w:numPr>
          <w:ilvl w:val="0"/>
          <w:numId w:val="24"/>
        </w:numPr>
        <w:spacing w:before="120"/>
        <w:ind w:left="690" w:hanging="240"/>
        <w:rPr>
          <w:rFonts w:ascii="等线" w:eastAsia="等线" w:hAnsi="Times New Roman"/>
          <w:color w:val="000000"/>
        </w:rPr>
      </w:pPr>
      <w:r w:rsidRPr="00E525AF">
        <w:rPr>
          <w:rFonts w:ascii="等线" w:eastAsia="等线" w:hAnsi="Times New Roman"/>
          <w:color w:val="000000"/>
        </w:rPr>
        <w:t>Represented a number of reputable construction enterprises in litigation cases before several High People's Courts and the Supreme People's Court and/or arbitration cases concerning construction disputes with a total amount in the hundreds of millions of CNY.</w:t>
      </w:r>
    </w:p>
    <w:p w14:paraId="148585A5" w14:textId="77777777" w:rsidR="00E525AF" w:rsidRDefault="00E525AF" w:rsidP="00E525AF">
      <w:pPr>
        <w:pStyle w:val="af5"/>
        <w:spacing w:before="120"/>
        <w:rPr>
          <w:rFonts w:ascii="等线" w:eastAsia="等线" w:hAnsi="Times New Roman"/>
          <w:color w:val="000000"/>
        </w:rPr>
      </w:pPr>
      <w:r w:rsidRPr="00E525AF">
        <w:rPr>
          <w:rFonts w:ascii="等线" w:eastAsia="等线" w:hAnsi="Times New Roman"/>
          <w:color w:val="000000"/>
        </w:rPr>
        <w:t>Cross-Border Disputes</w:t>
      </w:r>
    </w:p>
    <w:p w14:paraId="3D811162" w14:textId="77777777" w:rsidR="00E525AF" w:rsidRDefault="00E525AF" w:rsidP="00E525AF">
      <w:pPr>
        <w:pStyle w:val="af5"/>
        <w:numPr>
          <w:ilvl w:val="0"/>
          <w:numId w:val="25"/>
        </w:numPr>
        <w:spacing w:before="120"/>
        <w:ind w:left="690" w:hanging="240"/>
        <w:rPr>
          <w:rFonts w:ascii="等线" w:eastAsia="等线" w:hAnsi="Times New Roman"/>
          <w:color w:val="000000"/>
        </w:rPr>
      </w:pPr>
      <w:r w:rsidRPr="00E525AF">
        <w:rPr>
          <w:rFonts w:ascii="等线" w:eastAsia="等线" w:hAnsi="Times New Roman"/>
          <w:color w:val="000000"/>
        </w:rPr>
        <w:t>Represented a reputable domestic pharmaceutical company against an American company in an AAA international arbitration arising out of intellectual property and confidentiality agreements.</w:t>
      </w:r>
    </w:p>
    <w:p w14:paraId="7A599582" w14:textId="77777777" w:rsidR="00E525AF" w:rsidRDefault="00E525AF" w:rsidP="00E525AF">
      <w:pPr>
        <w:pStyle w:val="af5"/>
        <w:numPr>
          <w:ilvl w:val="0"/>
          <w:numId w:val="26"/>
        </w:numPr>
        <w:spacing w:before="120"/>
        <w:ind w:left="690" w:hanging="240"/>
        <w:rPr>
          <w:rFonts w:ascii="等线" w:eastAsia="等线" w:hAnsi="Times New Roman"/>
          <w:color w:val="000000"/>
        </w:rPr>
      </w:pPr>
      <w:r w:rsidRPr="00E525AF">
        <w:rPr>
          <w:rFonts w:ascii="等线" w:eastAsia="等线" w:hAnsi="Times New Roman"/>
          <w:color w:val="000000"/>
        </w:rPr>
        <w:t>Represented a large Chinese SOE in an HKIAC arbitration arising out of a cross-border service agreement with an amount in dispute in the hundreds of millions of USD.</w:t>
      </w:r>
    </w:p>
    <w:p w14:paraId="6A93689A" w14:textId="77777777" w:rsidR="00E525AF" w:rsidRDefault="00E525AF" w:rsidP="00E525AF">
      <w:pPr>
        <w:pStyle w:val="af5"/>
        <w:numPr>
          <w:ilvl w:val="0"/>
          <w:numId w:val="27"/>
        </w:numPr>
        <w:spacing w:before="120"/>
        <w:ind w:left="690" w:hanging="240"/>
        <w:rPr>
          <w:rFonts w:ascii="等线" w:eastAsia="等线" w:hAnsi="Times New Roman"/>
          <w:color w:val="000000"/>
        </w:rPr>
      </w:pPr>
      <w:r w:rsidRPr="00E525AF">
        <w:rPr>
          <w:rFonts w:ascii="等线" w:eastAsia="等线" w:hAnsi="Times New Roman"/>
          <w:color w:val="000000"/>
        </w:rPr>
        <w:t>Represented a well-known investment fund in a VAM repurchase dispute arbitration at HKIAC under a red-chip investment structure, with a dispute amount over USD 50 million. It is a landmark case in HKIAC</w:t>
      </w:r>
      <w:r w:rsidRPr="00E525AF">
        <w:rPr>
          <w:rFonts w:ascii="等线" w:eastAsia="等线" w:hAnsi="Times New Roman"/>
          <w:color w:val="000000"/>
        </w:rPr>
        <w:t>’</w:t>
      </w:r>
      <w:r w:rsidRPr="00E525AF">
        <w:rPr>
          <w:rFonts w:ascii="等线" w:eastAsia="等线" w:hAnsi="Times New Roman"/>
          <w:color w:val="000000"/>
        </w:rPr>
        <w:t>s history where a third party successfully joined an existing arbitration proceeding.</w:t>
      </w:r>
    </w:p>
    <w:p w14:paraId="60E6298E" w14:textId="77777777" w:rsidR="00E525AF" w:rsidRDefault="00E525AF" w:rsidP="00E525AF">
      <w:pPr>
        <w:pStyle w:val="af5"/>
        <w:numPr>
          <w:ilvl w:val="0"/>
          <w:numId w:val="28"/>
        </w:numPr>
        <w:spacing w:before="120"/>
        <w:ind w:left="690" w:hanging="240"/>
        <w:rPr>
          <w:rFonts w:ascii="等线" w:eastAsia="等线" w:hAnsi="Times New Roman"/>
          <w:color w:val="000000"/>
        </w:rPr>
      </w:pPr>
      <w:r w:rsidRPr="00E525AF">
        <w:rPr>
          <w:rFonts w:ascii="等线" w:eastAsia="等线" w:hAnsi="Times New Roman"/>
          <w:color w:val="000000"/>
        </w:rPr>
        <w:t>Represented a prominent Japanese corporation in a SIAC arbitration arising out of a series of contracts for the international sale of goods against a large PRC state-owned iron and steel enterprise.</w:t>
      </w:r>
    </w:p>
    <w:p w14:paraId="6A31C725" w14:textId="77777777" w:rsidR="00E525AF" w:rsidRDefault="00E525AF" w:rsidP="00E525AF">
      <w:pPr>
        <w:pStyle w:val="af5"/>
        <w:numPr>
          <w:ilvl w:val="0"/>
          <w:numId w:val="29"/>
        </w:numPr>
        <w:spacing w:before="120"/>
        <w:ind w:left="690" w:hanging="240"/>
        <w:rPr>
          <w:rFonts w:ascii="等线" w:eastAsia="等线" w:hAnsi="Times New Roman"/>
          <w:color w:val="000000"/>
        </w:rPr>
      </w:pPr>
      <w:r w:rsidRPr="00E525AF">
        <w:rPr>
          <w:rFonts w:ascii="等线" w:eastAsia="等线" w:hAnsi="Times New Roman"/>
          <w:color w:val="000000"/>
        </w:rPr>
        <w:t>Represented a group of 10 Chinese trade companies in disputes against a foreign shipping company concerning Rule B maritime attachment orders before the United States District Court for the Southern District of New York.</w:t>
      </w:r>
    </w:p>
    <w:p w14:paraId="7671B375" w14:textId="77777777" w:rsidR="00E525AF" w:rsidRDefault="00E525AF" w:rsidP="00E525AF">
      <w:pPr>
        <w:pStyle w:val="af5"/>
        <w:spacing w:after="0" w:line="480" w:lineRule="auto"/>
        <w:rPr>
          <w:rFonts w:ascii="等线" w:eastAsia="等线" w:hAnsi="等线"/>
          <w:b/>
          <w:sz w:val="24"/>
        </w:rPr>
      </w:pPr>
      <w:r w:rsidRPr="00E525AF">
        <w:rPr>
          <w:rFonts w:ascii="等线" w:eastAsia="等线" w:hAnsi="等线"/>
          <w:b/>
          <w:sz w:val="24"/>
        </w:rPr>
        <w:t>Education</w:t>
      </w:r>
    </w:p>
    <w:p w14:paraId="0DE2D54F" w14:textId="77777777" w:rsidR="00E525AF" w:rsidRDefault="00E525AF" w:rsidP="00E525AF">
      <w:pPr>
        <w:pStyle w:val="af5"/>
        <w:numPr>
          <w:ilvl w:val="0"/>
          <w:numId w:val="30"/>
        </w:numPr>
        <w:spacing w:before="120"/>
        <w:ind w:left="690" w:hanging="240"/>
        <w:rPr>
          <w:rFonts w:ascii="等线" w:eastAsia="等线" w:hAnsi="Times New Roman"/>
          <w:color w:val="000000"/>
        </w:rPr>
      </w:pPr>
      <w:r w:rsidRPr="00E525AF">
        <w:rPr>
          <w:rFonts w:ascii="等线" w:eastAsia="等线" w:hAnsi="Times New Roman"/>
          <w:color w:val="000000"/>
        </w:rPr>
        <w:t>China University of Political Science and Law, LL.B., 2005</w:t>
      </w:r>
    </w:p>
    <w:p w14:paraId="04B2F2B6" w14:textId="77777777" w:rsidR="00E525AF" w:rsidRDefault="00E525AF" w:rsidP="00E525AF">
      <w:pPr>
        <w:pStyle w:val="af5"/>
        <w:numPr>
          <w:ilvl w:val="0"/>
          <w:numId w:val="31"/>
        </w:numPr>
        <w:spacing w:before="120"/>
        <w:ind w:left="690" w:hanging="240"/>
        <w:rPr>
          <w:rFonts w:ascii="等线" w:eastAsia="等线" w:hAnsi="Times New Roman"/>
          <w:color w:val="000000"/>
        </w:rPr>
      </w:pPr>
      <w:r w:rsidRPr="00E525AF">
        <w:rPr>
          <w:rFonts w:ascii="等线" w:eastAsia="等线" w:hAnsi="Times New Roman"/>
          <w:color w:val="000000"/>
        </w:rPr>
        <w:t>China University of Political Science and law, International Economic Law, LL.M., 2008</w:t>
      </w:r>
    </w:p>
    <w:p w14:paraId="1CCB16F2" w14:textId="77777777" w:rsidR="00E525AF" w:rsidRDefault="00E525AF" w:rsidP="00E525AF">
      <w:pPr>
        <w:pStyle w:val="af5"/>
        <w:numPr>
          <w:ilvl w:val="0"/>
          <w:numId w:val="32"/>
        </w:numPr>
        <w:spacing w:before="120"/>
        <w:ind w:left="690" w:hanging="240"/>
        <w:rPr>
          <w:rFonts w:ascii="等线" w:eastAsia="等线" w:hAnsi="Times New Roman"/>
          <w:color w:val="000000"/>
        </w:rPr>
      </w:pPr>
      <w:r w:rsidRPr="00E525AF">
        <w:rPr>
          <w:rFonts w:ascii="等线" w:eastAsia="等线" w:hAnsi="Times New Roman"/>
          <w:color w:val="000000"/>
        </w:rPr>
        <w:t>Peking University, Guanghua School of Management, EMBA, 2025</w:t>
      </w:r>
    </w:p>
    <w:p w14:paraId="52618A13" w14:textId="77777777" w:rsidR="00E525AF" w:rsidRDefault="00E525AF" w:rsidP="00E525AF">
      <w:pPr>
        <w:pStyle w:val="af5"/>
        <w:spacing w:after="0" w:line="480" w:lineRule="auto"/>
        <w:rPr>
          <w:rFonts w:ascii="等线" w:eastAsia="等线" w:hAnsi="等线"/>
          <w:b/>
          <w:sz w:val="24"/>
        </w:rPr>
      </w:pPr>
      <w:r w:rsidRPr="00E525AF">
        <w:rPr>
          <w:rFonts w:ascii="等线" w:eastAsia="等线" w:hAnsi="等线"/>
          <w:b/>
          <w:sz w:val="24"/>
        </w:rPr>
        <w:t>Professional Qualification</w:t>
      </w:r>
    </w:p>
    <w:p w14:paraId="4C8F7C3C" w14:textId="77777777" w:rsidR="00E525AF" w:rsidRDefault="00E525AF" w:rsidP="00E525AF">
      <w:pPr>
        <w:pStyle w:val="af5"/>
        <w:numPr>
          <w:ilvl w:val="0"/>
          <w:numId w:val="33"/>
        </w:numPr>
        <w:spacing w:before="120"/>
        <w:ind w:left="690" w:hanging="240"/>
        <w:rPr>
          <w:rFonts w:ascii="等线" w:eastAsia="等线" w:hAnsi="Times New Roman"/>
          <w:color w:val="000000"/>
        </w:rPr>
      </w:pPr>
      <w:r w:rsidRPr="00E525AF">
        <w:rPr>
          <w:rFonts w:ascii="等线" w:eastAsia="等线" w:hAnsi="Times New Roman"/>
          <w:color w:val="000000"/>
        </w:rPr>
        <w:t>Admitted to practice in the PRC</w:t>
      </w:r>
    </w:p>
    <w:p w14:paraId="3CD2AF23" w14:textId="77777777" w:rsidR="00E525AF" w:rsidRDefault="00E525AF" w:rsidP="00E525AF">
      <w:pPr>
        <w:pStyle w:val="af5"/>
        <w:spacing w:after="0" w:line="480" w:lineRule="auto"/>
        <w:rPr>
          <w:rFonts w:ascii="等线" w:eastAsia="等线" w:hAnsi="等线"/>
          <w:b/>
          <w:sz w:val="24"/>
        </w:rPr>
      </w:pPr>
      <w:r w:rsidRPr="00E525AF">
        <w:rPr>
          <w:rFonts w:ascii="等线" w:eastAsia="等线" w:hAnsi="等线"/>
          <w:b/>
          <w:sz w:val="24"/>
        </w:rPr>
        <w:t>Professional Background</w:t>
      </w:r>
    </w:p>
    <w:p w14:paraId="2FBE9314" w14:textId="77777777" w:rsidR="00E525AF" w:rsidRDefault="00E525AF" w:rsidP="00E525AF">
      <w:pPr>
        <w:pStyle w:val="af5"/>
        <w:numPr>
          <w:ilvl w:val="0"/>
          <w:numId w:val="34"/>
        </w:numPr>
        <w:spacing w:before="120"/>
        <w:ind w:left="690" w:hanging="240"/>
        <w:rPr>
          <w:rFonts w:ascii="等线" w:eastAsia="等线" w:hAnsi="Times New Roman"/>
          <w:color w:val="000000"/>
        </w:rPr>
      </w:pPr>
      <w:r w:rsidRPr="00E525AF">
        <w:rPr>
          <w:rFonts w:ascii="等线" w:eastAsia="等线" w:hAnsi="Times New Roman"/>
          <w:color w:val="000000"/>
        </w:rPr>
        <w:t xml:space="preserve">William Yang joined Fangda as a senior partner in 2020. Before joining the firm, he worked at another two leading Chinese firms and was an Executive Partner of the Beijing Office of one of them. </w:t>
      </w:r>
    </w:p>
    <w:p w14:paraId="74FB216C" w14:textId="77777777" w:rsidR="00E525AF" w:rsidRDefault="00E525AF" w:rsidP="00E525AF">
      <w:pPr>
        <w:pStyle w:val="af5"/>
        <w:spacing w:after="0" w:line="480" w:lineRule="auto"/>
        <w:rPr>
          <w:rFonts w:ascii="等线" w:eastAsia="等线" w:hAnsi="等线"/>
          <w:b/>
          <w:sz w:val="24"/>
        </w:rPr>
      </w:pPr>
      <w:r w:rsidRPr="00E525AF">
        <w:rPr>
          <w:rFonts w:ascii="等线" w:eastAsia="等线" w:hAnsi="等线"/>
          <w:b/>
          <w:sz w:val="24"/>
        </w:rPr>
        <w:t>OTHER INFORMATION</w:t>
      </w:r>
    </w:p>
    <w:p w14:paraId="319C056C" w14:textId="77777777" w:rsidR="00E525AF" w:rsidRDefault="00E525AF" w:rsidP="00E525AF">
      <w:pPr>
        <w:pStyle w:val="af5"/>
        <w:spacing w:after="0" w:line="480" w:lineRule="auto"/>
        <w:rPr>
          <w:rFonts w:ascii="等线" w:eastAsia="等线" w:hAnsi="等线"/>
          <w:b/>
          <w:sz w:val="24"/>
        </w:rPr>
      </w:pPr>
      <w:r w:rsidRPr="00E525AF">
        <w:rPr>
          <w:rFonts w:ascii="等线" w:eastAsia="等线" w:hAnsi="等线"/>
          <w:b/>
          <w:sz w:val="24"/>
        </w:rPr>
        <w:t>Honors and Awards</w:t>
      </w:r>
    </w:p>
    <w:p w14:paraId="6648CF2F" w14:textId="77777777" w:rsidR="00E525AF" w:rsidRDefault="00E525AF" w:rsidP="00E525AF">
      <w:pPr>
        <w:pStyle w:val="af5"/>
        <w:numPr>
          <w:ilvl w:val="0"/>
          <w:numId w:val="35"/>
        </w:numPr>
        <w:spacing w:before="120"/>
        <w:ind w:left="690" w:hanging="240"/>
        <w:rPr>
          <w:rFonts w:ascii="等线" w:eastAsia="等线" w:hAnsi="Times New Roman"/>
          <w:color w:val="000000"/>
        </w:rPr>
      </w:pPr>
      <w:r w:rsidRPr="00E525AF">
        <w:rPr>
          <w:rFonts w:ascii="等线" w:eastAsia="等线" w:hAnsi="Times New Roman"/>
          <w:color w:val="000000"/>
        </w:rPr>
        <w:t xml:space="preserve">Chambers and Partners, Asia and Pacific and Greater China Region Guide, listed as </w:t>
      </w:r>
      <w:r w:rsidRPr="00E525AF">
        <w:rPr>
          <w:rFonts w:ascii="等线" w:eastAsia="等线" w:hAnsi="Times New Roman"/>
          <w:color w:val="000000"/>
        </w:rPr>
        <w:t>“</w:t>
      </w:r>
      <w:r w:rsidRPr="00E525AF">
        <w:rPr>
          <w:rFonts w:ascii="等线" w:eastAsia="等线" w:hAnsi="Times New Roman"/>
          <w:color w:val="000000"/>
        </w:rPr>
        <w:t>Recommended Lawyer</w:t>
      </w:r>
      <w:r w:rsidRPr="00E525AF">
        <w:rPr>
          <w:rFonts w:ascii="等线" w:eastAsia="等线" w:hAnsi="Times New Roman"/>
          <w:color w:val="000000"/>
        </w:rPr>
        <w:t>”</w:t>
      </w:r>
      <w:r w:rsidRPr="00E525AF">
        <w:rPr>
          <w:rFonts w:ascii="等线" w:eastAsia="等线" w:hAnsi="Times New Roman"/>
          <w:color w:val="000000"/>
        </w:rPr>
        <w:t xml:space="preserve"> in the areas of </w:t>
      </w:r>
      <w:r w:rsidRPr="00E525AF">
        <w:rPr>
          <w:rFonts w:ascii="等线" w:eastAsia="等线" w:hAnsi="Times New Roman"/>
          <w:color w:val="000000"/>
        </w:rPr>
        <w:t>“</w:t>
      </w:r>
      <w:r w:rsidRPr="00E525AF">
        <w:rPr>
          <w:rFonts w:ascii="等线" w:eastAsia="等线" w:hAnsi="Times New Roman"/>
          <w:color w:val="000000"/>
        </w:rPr>
        <w:t>dispute resolution: litigation</w:t>
      </w:r>
      <w:r w:rsidRPr="00E525AF">
        <w:rPr>
          <w:rFonts w:ascii="等线" w:eastAsia="等线" w:hAnsi="Times New Roman"/>
          <w:color w:val="000000"/>
        </w:rPr>
        <w:t>”</w:t>
      </w:r>
      <w:r w:rsidRPr="00E525AF">
        <w:rPr>
          <w:rFonts w:ascii="等线" w:eastAsia="等线" w:hAnsi="Times New Roman"/>
          <w:color w:val="000000"/>
        </w:rPr>
        <w:t xml:space="preserve"> and </w:t>
      </w:r>
      <w:r w:rsidRPr="00E525AF">
        <w:rPr>
          <w:rFonts w:ascii="等线" w:eastAsia="等线" w:hAnsi="Times New Roman"/>
          <w:color w:val="000000"/>
        </w:rPr>
        <w:t>“</w:t>
      </w:r>
      <w:r w:rsidRPr="00E525AF">
        <w:rPr>
          <w:rFonts w:ascii="等线" w:eastAsia="等线" w:hAnsi="Times New Roman"/>
          <w:color w:val="000000"/>
        </w:rPr>
        <w:t>securities: litigation</w:t>
      </w:r>
      <w:r w:rsidRPr="00E525AF">
        <w:rPr>
          <w:rFonts w:ascii="等线" w:eastAsia="等线" w:hAnsi="Times New Roman"/>
          <w:color w:val="000000"/>
        </w:rPr>
        <w:t>”</w:t>
      </w:r>
      <w:r w:rsidRPr="00E525AF">
        <w:rPr>
          <w:rFonts w:ascii="等线" w:eastAsia="等线" w:hAnsi="Times New Roman"/>
          <w:color w:val="000000"/>
        </w:rPr>
        <w:t xml:space="preserve"> (2022 to present) </w:t>
      </w:r>
    </w:p>
    <w:p w14:paraId="12A8F0FF" w14:textId="77777777" w:rsidR="00E525AF" w:rsidRDefault="00E525AF" w:rsidP="00E525AF">
      <w:pPr>
        <w:pStyle w:val="af5"/>
        <w:numPr>
          <w:ilvl w:val="0"/>
          <w:numId w:val="36"/>
        </w:numPr>
        <w:spacing w:before="120"/>
        <w:ind w:left="690" w:hanging="240"/>
        <w:rPr>
          <w:rFonts w:ascii="等线" w:eastAsia="等线" w:hAnsi="Times New Roman"/>
          <w:color w:val="000000"/>
        </w:rPr>
      </w:pPr>
      <w:r w:rsidRPr="00E525AF">
        <w:rPr>
          <w:rFonts w:ascii="等线" w:eastAsia="等线" w:hAnsi="Times New Roman"/>
          <w:color w:val="000000"/>
        </w:rPr>
        <w:t xml:space="preserve">Asialaw Profiles, listed as </w:t>
      </w:r>
      <w:r w:rsidRPr="00E525AF">
        <w:rPr>
          <w:rFonts w:ascii="等线" w:eastAsia="等线" w:hAnsi="Times New Roman"/>
          <w:color w:val="000000"/>
        </w:rPr>
        <w:t>“</w:t>
      </w:r>
      <w:r w:rsidRPr="00E525AF">
        <w:rPr>
          <w:rFonts w:ascii="等线" w:eastAsia="等线" w:hAnsi="Times New Roman"/>
          <w:color w:val="000000"/>
        </w:rPr>
        <w:t>Notable Practitioner</w:t>
      </w:r>
      <w:r w:rsidRPr="00E525AF">
        <w:rPr>
          <w:rFonts w:ascii="等线" w:eastAsia="等线" w:hAnsi="Times New Roman"/>
          <w:color w:val="000000"/>
        </w:rPr>
        <w:t>”</w:t>
      </w:r>
      <w:r w:rsidRPr="00E525AF">
        <w:rPr>
          <w:rFonts w:ascii="等线" w:eastAsia="等线" w:hAnsi="Times New Roman"/>
          <w:color w:val="000000"/>
        </w:rPr>
        <w:t xml:space="preserve"> in the field of Dispute Resolution (2016 to present) </w:t>
      </w:r>
    </w:p>
    <w:p w14:paraId="40E3A4C6" w14:textId="77777777" w:rsidR="00E525AF" w:rsidRDefault="00E525AF" w:rsidP="00E525AF">
      <w:pPr>
        <w:pStyle w:val="af5"/>
        <w:numPr>
          <w:ilvl w:val="0"/>
          <w:numId w:val="37"/>
        </w:numPr>
        <w:spacing w:before="120"/>
        <w:ind w:left="690" w:hanging="240"/>
        <w:rPr>
          <w:rFonts w:ascii="等线" w:eastAsia="等线" w:hAnsi="Times New Roman"/>
          <w:color w:val="000000"/>
        </w:rPr>
      </w:pPr>
      <w:r w:rsidRPr="00E525AF">
        <w:rPr>
          <w:rFonts w:ascii="等线" w:eastAsia="等线" w:hAnsi="Times New Roman"/>
          <w:color w:val="000000"/>
        </w:rPr>
        <w:t xml:space="preserve">Asian Legal Business, named as one of China Top 15 Litigators (2019) </w:t>
      </w:r>
    </w:p>
    <w:p w14:paraId="1449FCC9" w14:textId="77777777" w:rsidR="00E525AF" w:rsidRDefault="00E525AF" w:rsidP="00E525AF">
      <w:pPr>
        <w:pStyle w:val="af5"/>
        <w:numPr>
          <w:ilvl w:val="0"/>
          <w:numId w:val="38"/>
        </w:numPr>
        <w:spacing w:before="120"/>
        <w:ind w:left="690" w:hanging="240"/>
        <w:rPr>
          <w:rFonts w:ascii="等线" w:eastAsia="等线" w:hAnsi="Times New Roman"/>
          <w:color w:val="000000"/>
        </w:rPr>
      </w:pPr>
      <w:r w:rsidRPr="00E525AF">
        <w:rPr>
          <w:rFonts w:ascii="等线" w:eastAsia="等线" w:hAnsi="Times New Roman"/>
          <w:color w:val="000000"/>
        </w:rPr>
        <w:t xml:space="preserve">China Business Law Journal, named as a member of China Top 100 A-list Lawyers (2017) </w:t>
      </w:r>
    </w:p>
    <w:p w14:paraId="263AECCD" w14:textId="77777777" w:rsidR="00E525AF" w:rsidRDefault="00E525AF" w:rsidP="00E525AF">
      <w:pPr>
        <w:pStyle w:val="af5"/>
        <w:spacing w:after="0" w:line="480" w:lineRule="auto"/>
        <w:rPr>
          <w:rFonts w:ascii="等线" w:eastAsia="等线" w:hAnsi="等线"/>
          <w:b/>
          <w:sz w:val="24"/>
        </w:rPr>
      </w:pPr>
      <w:r w:rsidRPr="00E525AF">
        <w:rPr>
          <w:rFonts w:ascii="等线" w:eastAsia="等线" w:hAnsi="等线"/>
          <w:b/>
          <w:sz w:val="24"/>
        </w:rPr>
        <w:t>Professional Affiliations</w:t>
      </w:r>
    </w:p>
    <w:p w14:paraId="572BA959" w14:textId="77777777" w:rsidR="00E525AF" w:rsidRDefault="00E525AF" w:rsidP="00E525AF">
      <w:pPr>
        <w:pStyle w:val="af5"/>
        <w:numPr>
          <w:ilvl w:val="0"/>
          <w:numId w:val="39"/>
        </w:numPr>
        <w:spacing w:before="120"/>
        <w:ind w:left="690" w:hanging="240"/>
        <w:rPr>
          <w:rFonts w:ascii="等线" w:eastAsia="等线" w:hAnsi="Times New Roman"/>
          <w:color w:val="000000"/>
        </w:rPr>
      </w:pPr>
      <w:r w:rsidRPr="00E525AF">
        <w:rPr>
          <w:rFonts w:ascii="等线" w:eastAsia="等线" w:hAnsi="Times New Roman"/>
          <w:color w:val="000000"/>
        </w:rPr>
        <w:t xml:space="preserve">Arbitrators at Beijing Arbitration Commission, Shanghai International Arbitration Center, and other arbitration institutions </w:t>
      </w:r>
    </w:p>
    <w:p w14:paraId="13BD3D2B" w14:textId="77777777" w:rsidR="00E525AF" w:rsidRDefault="00E525AF" w:rsidP="00E525AF">
      <w:pPr>
        <w:pStyle w:val="af5"/>
        <w:numPr>
          <w:ilvl w:val="0"/>
          <w:numId w:val="40"/>
        </w:numPr>
        <w:spacing w:before="120"/>
        <w:ind w:left="690" w:hanging="240"/>
        <w:rPr>
          <w:rFonts w:ascii="等线" w:eastAsia="等线" w:hAnsi="Times New Roman"/>
          <w:color w:val="000000"/>
        </w:rPr>
      </w:pPr>
      <w:r w:rsidRPr="00E525AF">
        <w:rPr>
          <w:rFonts w:ascii="等线" w:eastAsia="等线" w:hAnsi="Times New Roman"/>
          <w:color w:val="000000"/>
        </w:rPr>
        <w:t xml:space="preserve">Commercial Arbitration Commission of the 11th Beijing Lawyers Association, Vice Director </w:t>
      </w:r>
    </w:p>
    <w:p w14:paraId="5567FC3C" w14:textId="01F87D0F" w:rsidR="00686369" w:rsidRPr="00E525AF" w:rsidRDefault="00E525AF" w:rsidP="00E525AF">
      <w:pPr>
        <w:pStyle w:val="af5"/>
        <w:numPr>
          <w:ilvl w:val="0"/>
          <w:numId w:val="41"/>
        </w:numPr>
        <w:spacing w:before="120"/>
        <w:ind w:left="690" w:hanging="240"/>
        <w:rPr>
          <w:rFonts w:ascii="等线" w:eastAsia="等线" w:hAnsi="Times New Roman"/>
          <w:color w:val="000000"/>
        </w:rPr>
      </w:pPr>
      <w:r w:rsidRPr="00E525AF">
        <w:rPr>
          <w:rFonts w:ascii="等线" w:eastAsia="等线" w:hAnsi="Times New Roman"/>
          <w:color w:val="000000"/>
        </w:rPr>
        <w:t xml:space="preserve">China University of Political Science and Law, Adjunct Supervisor for Juris Master students </w:t>
      </w:r>
    </w:p>
    <w:sectPr w:rsidR="00686369" w:rsidRPr="00E525AF"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B7211"/>
    <w:multiLevelType w:val="singleLevel"/>
    <w:tmpl w:val="8898BB2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8252A7B"/>
    <w:multiLevelType w:val="singleLevel"/>
    <w:tmpl w:val="169E044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A70179E"/>
    <w:multiLevelType w:val="singleLevel"/>
    <w:tmpl w:val="CE9487A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CD62114"/>
    <w:multiLevelType w:val="singleLevel"/>
    <w:tmpl w:val="C3D8E8F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D150924"/>
    <w:multiLevelType w:val="singleLevel"/>
    <w:tmpl w:val="E15C0B8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DB219A7"/>
    <w:multiLevelType w:val="singleLevel"/>
    <w:tmpl w:val="42202C4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3474B48"/>
    <w:multiLevelType w:val="singleLevel"/>
    <w:tmpl w:val="A1E43F5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9662066"/>
    <w:multiLevelType w:val="singleLevel"/>
    <w:tmpl w:val="97CE37A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C9F26C4"/>
    <w:multiLevelType w:val="singleLevel"/>
    <w:tmpl w:val="69C2D50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2415FB4"/>
    <w:multiLevelType w:val="singleLevel"/>
    <w:tmpl w:val="9016074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2CE61FC"/>
    <w:multiLevelType w:val="singleLevel"/>
    <w:tmpl w:val="5EA4463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3B03D6D"/>
    <w:multiLevelType w:val="singleLevel"/>
    <w:tmpl w:val="0FF801C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46A338F"/>
    <w:multiLevelType w:val="singleLevel"/>
    <w:tmpl w:val="D5640DF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5032508"/>
    <w:multiLevelType w:val="singleLevel"/>
    <w:tmpl w:val="2E5A9BD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1DA3F80"/>
    <w:multiLevelType w:val="singleLevel"/>
    <w:tmpl w:val="2B66563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70E61AB"/>
    <w:multiLevelType w:val="singleLevel"/>
    <w:tmpl w:val="41E2D2A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7295802"/>
    <w:multiLevelType w:val="singleLevel"/>
    <w:tmpl w:val="B57E295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42672A89"/>
    <w:multiLevelType w:val="singleLevel"/>
    <w:tmpl w:val="EA70770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3DD3C3F"/>
    <w:multiLevelType w:val="singleLevel"/>
    <w:tmpl w:val="4AC4D37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3EF5E96"/>
    <w:multiLevelType w:val="singleLevel"/>
    <w:tmpl w:val="D9AC288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5261050"/>
    <w:multiLevelType w:val="singleLevel"/>
    <w:tmpl w:val="84FA0C9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9354636"/>
    <w:multiLevelType w:val="singleLevel"/>
    <w:tmpl w:val="5F8CD83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D2B375A"/>
    <w:multiLevelType w:val="singleLevel"/>
    <w:tmpl w:val="098C801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D8660EA"/>
    <w:multiLevelType w:val="singleLevel"/>
    <w:tmpl w:val="130878A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F077949"/>
    <w:multiLevelType w:val="singleLevel"/>
    <w:tmpl w:val="69C2D50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F6228AC"/>
    <w:multiLevelType w:val="singleLevel"/>
    <w:tmpl w:val="64BE57A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038277C"/>
    <w:multiLevelType w:val="singleLevel"/>
    <w:tmpl w:val="99283E8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3315568"/>
    <w:multiLevelType w:val="singleLevel"/>
    <w:tmpl w:val="244E305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58477E0"/>
    <w:multiLevelType w:val="singleLevel"/>
    <w:tmpl w:val="0EA8985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BCB47DA"/>
    <w:multiLevelType w:val="singleLevel"/>
    <w:tmpl w:val="FC1A0E2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C1132BB"/>
    <w:multiLevelType w:val="singleLevel"/>
    <w:tmpl w:val="962A32E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3A57600"/>
    <w:multiLevelType w:val="singleLevel"/>
    <w:tmpl w:val="622A84B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F3174ED"/>
    <w:multiLevelType w:val="singleLevel"/>
    <w:tmpl w:val="3B965FA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0BC35EF"/>
    <w:multiLevelType w:val="singleLevel"/>
    <w:tmpl w:val="E682BDA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29F01D8"/>
    <w:multiLevelType w:val="singleLevel"/>
    <w:tmpl w:val="F3D2637C"/>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3FF5601"/>
    <w:multiLevelType w:val="singleLevel"/>
    <w:tmpl w:val="258253C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7C4631A"/>
    <w:multiLevelType w:val="singleLevel"/>
    <w:tmpl w:val="4252C978"/>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9940528"/>
    <w:multiLevelType w:val="singleLevel"/>
    <w:tmpl w:val="CE40FAC6"/>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D836340"/>
    <w:multiLevelType w:val="singleLevel"/>
    <w:tmpl w:val="9D0C6E9A"/>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18"/>
  </w:num>
  <w:num w:numId="3">
    <w:abstractNumId w:val="30"/>
  </w:num>
  <w:num w:numId="4">
    <w:abstractNumId w:val="37"/>
  </w:num>
  <w:num w:numId="5">
    <w:abstractNumId w:val="4"/>
  </w:num>
  <w:num w:numId="6">
    <w:abstractNumId w:val="24"/>
  </w:num>
  <w:num w:numId="7">
    <w:abstractNumId w:val="11"/>
  </w:num>
  <w:num w:numId="8">
    <w:abstractNumId w:val="15"/>
  </w:num>
  <w:num w:numId="9">
    <w:abstractNumId w:val="17"/>
  </w:num>
  <w:num w:numId="10">
    <w:abstractNumId w:val="28"/>
  </w:num>
  <w:num w:numId="11">
    <w:abstractNumId w:val="38"/>
  </w:num>
  <w:num w:numId="12">
    <w:abstractNumId w:val="19"/>
  </w:num>
  <w:num w:numId="13">
    <w:abstractNumId w:val="34"/>
  </w:num>
  <w:num w:numId="14">
    <w:abstractNumId w:val="40"/>
  </w:num>
  <w:num w:numId="15">
    <w:abstractNumId w:val="23"/>
  </w:num>
  <w:num w:numId="16">
    <w:abstractNumId w:val="10"/>
  </w:num>
  <w:num w:numId="17">
    <w:abstractNumId w:val="25"/>
  </w:num>
  <w:num w:numId="18">
    <w:abstractNumId w:val="12"/>
  </w:num>
  <w:num w:numId="19">
    <w:abstractNumId w:val="27"/>
  </w:num>
  <w:num w:numId="20">
    <w:abstractNumId w:val="22"/>
  </w:num>
  <w:num w:numId="21">
    <w:abstractNumId w:val="32"/>
  </w:num>
  <w:num w:numId="22">
    <w:abstractNumId w:val="20"/>
  </w:num>
  <w:num w:numId="23">
    <w:abstractNumId w:val="13"/>
  </w:num>
  <w:num w:numId="24">
    <w:abstractNumId w:val="35"/>
  </w:num>
  <w:num w:numId="25">
    <w:abstractNumId w:val="7"/>
  </w:num>
  <w:num w:numId="26">
    <w:abstractNumId w:val="6"/>
  </w:num>
  <w:num w:numId="27">
    <w:abstractNumId w:val="39"/>
  </w:num>
  <w:num w:numId="28">
    <w:abstractNumId w:val="5"/>
  </w:num>
  <w:num w:numId="29">
    <w:abstractNumId w:val="36"/>
  </w:num>
  <w:num w:numId="30">
    <w:abstractNumId w:val="3"/>
  </w:num>
  <w:num w:numId="31">
    <w:abstractNumId w:val="0"/>
  </w:num>
  <w:num w:numId="32">
    <w:abstractNumId w:val="21"/>
  </w:num>
  <w:num w:numId="33">
    <w:abstractNumId w:val="31"/>
  </w:num>
  <w:num w:numId="34">
    <w:abstractNumId w:val="33"/>
  </w:num>
  <w:num w:numId="35">
    <w:abstractNumId w:val="9"/>
  </w:num>
  <w:num w:numId="36">
    <w:abstractNumId w:val="16"/>
  </w:num>
  <w:num w:numId="37">
    <w:abstractNumId w:val="29"/>
  </w:num>
  <w:num w:numId="38">
    <w:abstractNumId w:val="2"/>
  </w:num>
  <w:num w:numId="39">
    <w:abstractNumId w:val="1"/>
  </w:num>
  <w:num w:numId="40">
    <w:abstractNumId w:val="26"/>
  </w:num>
  <w:num w:numId="4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525AF"/>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525AF"/>
    <w:pPr>
      <w:spacing w:after="120"/>
    </w:pPr>
  </w:style>
  <w:style w:type="character" w:customStyle="1" w:styleId="af6">
    <w:name w:val="正文文本 字符"/>
    <w:basedOn w:val="a0"/>
    <w:link w:val="af5"/>
    <w:uiPriority w:val="99"/>
    <w:rsid w:val="00E525AF"/>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707B45-5C5A-49B5-919C-F297C914DB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1352</Words>
  <Characters>7709</Characters>
  <Application>Microsoft Office Word</Application>
  <DocSecurity>0</DocSecurity>
  <Lines>64</Lines>
  <Paragraphs>18</Paragraphs>
  <ScaleCrop>false</ScaleCrop>
  <Company/>
  <LinksUpToDate>false</LinksUpToDate>
  <CharactersWithSpaces>9043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2026-07-16T15:00:00Z</dcterms:created>
  <dcterms:modified xsi:type="dcterms:W3CDTF">2026-07-16T15:00:00Z</dcterms:modified>
</cp:coreProperties>
</file>