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7E44EF2" w:rsidR="0049405C" w:rsidRPr="00C24D79" w:rsidRDefault="00383025" w:rsidP="00383025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383025">
              <w:rPr>
                <w:rFonts w:ascii="等线" w:eastAsia="等线" w:hAnsi="Times New Roman"/>
                <w:b/>
                <w:color w:val="000000"/>
                <w:sz w:val="48"/>
              </w:rPr>
              <w:t>HAO ZHANG</w:t>
            </w:r>
            <w:bookmarkEnd w:id="0"/>
          </w:p>
          <w:p w14:paraId="706EB16B" w14:textId="0CB598C5" w:rsidR="0049405C" w:rsidRPr="00C24D79" w:rsidRDefault="00383025" w:rsidP="00383025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383025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383025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383025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2DB284F9" w:rsidR="0049405C" w:rsidRPr="00C24D79" w:rsidRDefault="00383025" w:rsidP="00383025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383025">
              <w:rPr>
                <w:rFonts w:ascii="等线" w:eastAsia="等线" w:hAnsi="Times New Roman"/>
                <w:color w:val="000000"/>
              </w:rPr>
              <w:t xml:space="preserve">+86 21 6263 5917 </w:t>
            </w:r>
            <w:bookmarkEnd w:id="3"/>
          </w:p>
          <w:p w14:paraId="4F910ACA" w14:textId="34A42245" w:rsidR="0049405C" w:rsidRPr="00C24D79" w:rsidRDefault="00383025" w:rsidP="00383025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383025">
              <w:rPr>
                <w:rFonts w:ascii="等线" w:eastAsia="等线" w:hAnsi="Times New Roman"/>
                <w:color w:val="000000"/>
              </w:rPr>
              <w:t>hao.zhang@fangdalaw.com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C7DCDD5" w:rsidR="0049405C" w:rsidRPr="00C24D79" w:rsidRDefault="00383025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14E354E" wp14:editId="4E8D1E3B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7C3746E" w:rsidR="009465FB" w:rsidRPr="00C24D79" w:rsidRDefault="00383025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383025">
              <w:rPr>
                <w:rFonts w:ascii="等线" w:eastAsia="等线" w:hAnsi="Times New Roman"/>
                <w:color w:val="000000"/>
                <w:szCs w:val="21"/>
              </w:rPr>
              <w:t>MR. HAO ZHANG SPECIALIZES IN M&amp;A, PRIVATE EQUITY INVESTMENT, FOREIGN DIRECT INVESTMENT,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A4AB1EA" w14:textId="77777777" w:rsidR="00383025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9474AD9" w14:textId="77777777" w:rsidR="00383025" w:rsidRDefault="00383025" w:rsidP="0038302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83025">
        <w:rPr>
          <w:rFonts w:ascii="等线" w:eastAsia="等线" w:hAnsi="等线"/>
          <w:b/>
          <w:sz w:val="24"/>
        </w:rPr>
        <w:t>REPRESENTATIVE MATTERS AND CASES</w:t>
      </w:r>
    </w:p>
    <w:p w14:paraId="38560AF7" w14:textId="77777777" w:rsidR="00383025" w:rsidRDefault="00383025" w:rsidP="00383025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6644797A" w14:textId="77777777" w:rsidR="00383025" w:rsidRDefault="00383025" w:rsidP="00383025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3025">
        <w:rPr>
          <w:rFonts w:ascii="等线" w:eastAsia="等线" w:hAnsi="Times New Roman"/>
          <w:color w:val="000000"/>
        </w:rPr>
        <w:t>Represented SoftBank Vision Fund in its investment in Didi Chuxing, one of the largest app-based transportation companies headquartered in China</w:t>
      </w:r>
    </w:p>
    <w:p w14:paraId="6A445794" w14:textId="77777777" w:rsidR="00383025" w:rsidRDefault="00383025" w:rsidP="00383025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3025">
        <w:rPr>
          <w:rFonts w:ascii="等线" w:eastAsia="等线" w:hAnsi="Times New Roman"/>
          <w:color w:val="000000"/>
        </w:rPr>
        <w:t>Represented SoftBank Vision Fund in its investment in the China piece of OYO Rooms, the world</w:t>
      </w:r>
      <w:r w:rsidRPr="00383025">
        <w:rPr>
          <w:rFonts w:ascii="等线" w:eastAsia="等线" w:hAnsi="Times New Roman"/>
          <w:color w:val="000000"/>
        </w:rPr>
        <w:t>’</w:t>
      </w:r>
      <w:r w:rsidRPr="00383025">
        <w:rPr>
          <w:rFonts w:ascii="等线" w:eastAsia="等线" w:hAnsi="Times New Roman"/>
          <w:color w:val="000000"/>
        </w:rPr>
        <w:t>s third-largest and fastest-growing hospitality chain of leased and franchised hotels and homes</w:t>
      </w:r>
    </w:p>
    <w:p w14:paraId="27DC4FBE" w14:textId="77777777" w:rsidR="00383025" w:rsidRDefault="00383025" w:rsidP="00383025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3025">
        <w:rPr>
          <w:rFonts w:ascii="等线" w:eastAsia="等线" w:hAnsi="Times New Roman"/>
          <w:color w:val="000000"/>
        </w:rPr>
        <w:t>Represented SoftBank Vision Fund in series D+ investment in Beike, a leading app-based real estate brokerage service and financial services provider in China</w:t>
      </w:r>
    </w:p>
    <w:p w14:paraId="36AD3F6D" w14:textId="77777777" w:rsidR="00383025" w:rsidRDefault="00383025" w:rsidP="00383025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3025">
        <w:rPr>
          <w:rFonts w:ascii="等线" w:eastAsia="等线" w:hAnsi="Times New Roman"/>
          <w:color w:val="000000"/>
        </w:rPr>
        <w:t>Represented SoftBank Vision Fund in its Series C investment in Ziroom, a leading service provider of long- and short-term lease of renovated apartments</w:t>
      </w:r>
    </w:p>
    <w:p w14:paraId="7D3FC835" w14:textId="77777777" w:rsidR="00383025" w:rsidRDefault="00383025" w:rsidP="00383025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3025">
        <w:rPr>
          <w:rFonts w:ascii="等线" w:eastAsia="等线" w:hAnsi="Times New Roman"/>
          <w:color w:val="000000"/>
        </w:rPr>
        <w:t>Represented Yunfeng Capital in its equity investment in a China internet-based insurance brokerage service provider</w:t>
      </w:r>
    </w:p>
    <w:p w14:paraId="368DA67D" w14:textId="77777777" w:rsidR="00383025" w:rsidRDefault="00383025" w:rsidP="00383025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3025">
        <w:rPr>
          <w:rFonts w:ascii="等线" w:eastAsia="等线" w:hAnsi="Times New Roman"/>
          <w:color w:val="000000"/>
        </w:rPr>
        <w:t>Represented TPG Capital in its proposed investment in a domestic e-commerce logistics company in Shanghai</w:t>
      </w:r>
    </w:p>
    <w:p w14:paraId="3F55A117" w14:textId="77777777" w:rsidR="00383025" w:rsidRDefault="00383025" w:rsidP="00383025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3025">
        <w:rPr>
          <w:rFonts w:ascii="等线" w:eastAsia="等线" w:hAnsi="Times New Roman"/>
          <w:color w:val="000000"/>
        </w:rPr>
        <w:t>Represented Colgate-Palmolive in its proposed acquisition of 75% equity interest in a leading personal oral care company in China</w:t>
      </w:r>
    </w:p>
    <w:p w14:paraId="0A338EF7" w14:textId="77777777" w:rsidR="00383025" w:rsidRDefault="00383025" w:rsidP="00383025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3025">
        <w:rPr>
          <w:rFonts w:ascii="等线" w:eastAsia="等线" w:hAnsi="Times New Roman"/>
          <w:color w:val="000000"/>
        </w:rPr>
        <w:t>Represented Nouryon (formally AkzoNobel Specialty Chemical) in its acquisition of a China-based chemical product manufacturer</w:t>
      </w:r>
    </w:p>
    <w:p w14:paraId="6537456B" w14:textId="77777777" w:rsidR="00383025" w:rsidRDefault="00383025" w:rsidP="00383025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3025">
        <w:rPr>
          <w:rFonts w:ascii="等线" w:eastAsia="等线" w:hAnsi="Times New Roman"/>
          <w:color w:val="000000"/>
        </w:rPr>
        <w:t>Represented Axalta Coating Systems in its acquisition of a China-based coatings company</w:t>
      </w:r>
    </w:p>
    <w:p w14:paraId="4D4E93E3" w14:textId="77777777" w:rsidR="00383025" w:rsidRDefault="00383025" w:rsidP="00383025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3025">
        <w:rPr>
          <w:rFonts w:ascii="等线" w:eastAsia="等线" w:hAnsi="Times New Roman"/>
          <w:color w:val="000000"/>
        </w:rPr>
        <w:t>Represented Pall Corporation, a subsidiary of Danaher Corporation, in its disposal of water purification system businesses</w:t>
      </w:r>
    </w:p>
    <w:p w14:paraId="52980FB1" w14:textId="77777777" w:rsidR="00383025" w:rsidRDefault="00383025" w:rsidP="00383025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3025">
        <w:rPr>
          <w:rFonts w:ascii="等线" w:eastAsia="等线" w:hAnsi="Times New Roman"/>
          <w:color w:val="000000"/>
        </w:rPr>
        <w:t>Represented Jamieson Laboratories, one of the largest nutritional food manufacturers and distributors in Canada, in its joint venture in China</w:t>
      </w:r>
    </w:p>
    <w:p w14:paraId="661B14B0" w14:textId="77777777" w:rsidR="00383025" w:rsidRDefault="00383025" w:rsidP="00383025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3025">
        <w:rPr>
          <w:rFonts w:ascii="等线" w:eastAsia="等线" w:hAnsi="Times New Roman"/>
          <w:color w:val="000000"/>
        </w:rPr>
        <w:t>Represented VMware in its investment in and business operation with a domestic cloud solution provider in China</w:t>
      </w:r>
    </w:p>
    <w:p w14:paraId="7CBC0D08" w14:textId="77777777" w:rsidR="00383025" w:rsidRDefault="00383025" w:rsidP="00383025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3025">
        <w:rPr>
          <w:rFonts w:ascii="等线" w:eastAsia="等线" w:hAnsi="Times New Roman"/>
          <w:color w:val="000000"/>
        </w:rPr>
        <w:t>Represented a California-based biotech company in its joint venture in China for CAR-T immunotherapies treatment business</w:t>
      </w:r>
    </w:p>
    <w:p w14:paraId="1C82762A" w14:textId="77777777" w:rsidR="00383025" w:rsidRDefault="00383025" w:rsidP="00383025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3025">
        <w:rPr>
          <w:rFonts w:ascii="等线" w:eastAsia="等线" w:hAnsi="Times New Roman"/>
          <w:color w:val="000000"/>
        </w:rPr>
        <w:t>Represented Morgan Stanley Real Estate Fund in its indirect acquisition of a logistics park in Dongguan through its direct acquisition of a warehousing company in Dongguan</w:t>
      </w:r>
    </w:p>
    <w:p w14:paraId="7046BFC2" w14:textId="77777777" w:rsidR="00383025" w:rsidRDefault="00383025" w:rsidP="00383025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3025">
        <w:rPr>
          <w:rFonts w:ascii="等线" w:eastAsia="等线" w:hAnsi="Times New Roman"/>
          <w:color w:val="000000"/>
        </w:rPr>
        <w:t>Represented GLP in its indirect acquisition of a logistics real property in Tianjin Free Trade Zone through its direct acquisition of a logistics company in Tianjin</w:t>
      </w:r>
    </w:p>
    <w:p w14:paraId="1C5D6D9A" w14:textId="77777777" w:rsidR="00383025" w:rsidRDefault="00383025" w:rsidP="00383025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3025">
        <w:rPr>
          <w:rFonts w:ascii="等线" w:eastAsia="等线" w:hAnsi="Times New Roman"/>
          <w:color w:val="000000"/>
        </w:rPr>
        <w:t>Represented KHI Overseas Limited in its indirect acquisition of Crystal Galleria, a Grade-A office tower in Jing</w:t>
      </w:r>
      <w:r w:rsidRPr="00383025">
        <w:rPr>
          <w:rFonts w:ascii="等线" w:eastAsia="等线" w:hAnsi="Times New Roman"/>
          <w:color w:val="000000"/>
        </w:rPr>
        <w:t>’</w:t>
      </w:r>
      <w:r w:rsidRPr="00383025">
        <w:rPr>
          <w:rFonts w:ascii="等线" w:eastAsia="等线" w:hAnsi="Times New Roman"/>
          <w:color w:val="000000"/>
        </w:rPr>
        <w:t>an District, Shanghai, through its direct acquisition of a majority interest in an offshore subsidiary of Shenzhen World Union (002285.SZ)</w:t>
      </w:r>
    </w:p>
    <w:p w14:paraId="298A0756" w14:textId="77777777" w:rsidR="00383025" w:rsidRDefault="00383025" w:rsidP="00383025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3025">
        <w:rPr>
          <w:rFonts w:ascii="等线" w:eastAsia="等线" w:hAnsi="Times New Roman"/>
          <w:color w:val="000000"/>
        </w:rPr>
        <w:t>Represented China National Biotech Group in its proposed bid to acquire a leading Israel-based aesthetic medical device manufacturer</w:t>
      </w:r>
    </w:p>
    <w:p w14:paraId="3264AF06" w14:textId="77777777" w:rsidR="00383025" w:rsidRDefault="00383025" w:rsidP="00383025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3025">
        <w:rPr>
          <w:rFonts w:ascii="等线" w:eastAsia="等线" w:hAnsi="Times New Roman"/>
          <w:color w:val="000000"/>
        </w:rPr>
        <w:t>Represented a Beijing-based private equity firm in its proposed $148 million asset acquisition of the physical vapor deposition business unit of Praxair, Inc.</w:t>
      </w:r>
    </w:p>
    <w:p w14:paraId="3DCDE12C" w14:textId="77777777" w:rsidR="00383025" w:rsidRDefault="00383025" w:rsidP="0038302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83025">
        <w:rPr>
          <w:rFonts w:ascii="等线" w:eastAsia="等线" w:hAnsi="等线"/>
          <w:b/>
          <w:sz w:val="24"/>
        </w:rPr>
        <w:t>Education</w:t>
      </w:r>
    </w:p>
    <w:p w14:paraId="74F4A341" w14:textId="77777777" w:rsidR="00383025" w:rsidRDefault="00383025" w:rsidP="00383025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3025">
        <w:rPr>
          <w:rFonts w:ascii="等线" w:eastAsia="等线" w:hAnsi="Times New Roman"/>
          <w:color w:val="000000"/>
        </w:rPr>
        <w:t>Fudan University School of Law, LL.B., 2009</w:t>
      </w:r>
    </w:p>
    <w:p w14:paraId="15B4526B" w14:textId="77777777" w:rsidR="00383025" w:rsidRDefault="00383025" w:rsidP="00383025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3025">
        <w:rPr>
          <w:rFonts w:ascii="等线" w:eastAsia="等线" w:hAnsi="Times New Roman"/>
          <w:color w:val="000000"/>
        </w:rPr>
        <w:t>New York University School of Law, LL.M., 2015</w:t>
      </w:r>
    </w:p>
    <w:p w14:paraId="6A19961B" w14:textId="77777777" w:rsidR="00383025" w:rsidRDefault="00383025" w:rsidP="0038302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83025">
        <w:rPr>
          <w:rFonts w:ascii="等线" w:eastAsia="等线" w:hAnsi="等线"/>
          <w:b/>
          <w:sz w:val="24"/>
        </w:rPr>
        <w:t>Professional Qualification</w:t>
      </w:r>
    </w:p>
    <w:p w14:paraId="17E1007D" w14:textId="77777777" w:rsidR="00383025" w:rsidRDefault="00383025" w:rsidP="00383025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3025">
        <w:rPr>
          <w:rFonts w:ascii="等线" w:eastAsia="等线" w:hAnsi="Times New Roman"/>
          <w:color w:val="000000"/>
        </w:rPr>
        <w:t>Admitted to practice in the PRC</w:t>
      </w:r>
    </w:p>
    <w:p w14:paraId="1B59C64F" w14:textId="77777777" w:rsidR="00383025" w:rsidRDefault="00383025" w:rsidP="00383025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3025">
        <w:rPr>
          <w:rFonts w:ascii="等线" w:eastAsia="等线" w:hAnsi="Times New Roman"/>
          <w:color w:val="000000"/>
        </w:rPr>
        <w:t>Admitted to practice in New York</w:t>
      </w:r>
    </w:p>
    <w:p w14:paraId="006C8C46" w14:textId="77777777" w:rsidR="00383025" w:rsidRDefault="00383025" w:rsidP="0038302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83025">
        <w:rPr>
          <w:rFonts w:ascii="等线" w:eastAsia="等线" w:hAnsi="等线"/>
          <w:b/>
          <w:sz w:val="24"/>
        </w:rPr>
        <w:t>Professional Background</w:t>
      </w:r>
    </w:p>
    <w:p w14:paraId="5567FC3C" w14:textId="5F4DF6CD" w:rsidR="00686369" w:rsidRPr="00383025" w:rsidRDefault="00383025" w:rsidP="00383025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83025">
        <w:rPr>
          <w:rFonts w:ascii="等线" w:eastAsia="等线" w:hAnsi="Times New Roman"/>
          <w:color w:val="000000"/>
        </w:rPr>
        <w:t>Mr. Zhang joined the firm in 2019. Before joining Fangda, Mr. Zhang worked at several leading international and PRC law firms in their Shanghai and Beijing offices.</w:t>
      </w:r>
    </w:p>
    <w:sectPr w:rsidR="00686369" w:rsidRPr="0038302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E1D8F"/>
    <w:multiLevelType w:val="singleLevel"/>
    <w:tmpl w:val="F7028C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0665EE"/>
    <w:multiLevelType w:val="singleLevel"/>
    <w:tmpl w:val="C6449A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98D0490"/>
    <w:multiLevelType w:val="singleLevel"/>
    <w:tmpl w:val="06C4DC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11A5533"/>
    <w:multiLevelType w:val="singleLevel"/>
    <w:tmpl w:val="F222A5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A2B1E62"/>
    <w:multiLevelType w:val="singleLevel"/>
    <w:tmpl w:val="A9DAB9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A6E30BE"/>
    <w:multiLevelType w:val="singleLevel"/>
    <w:tmpl w:val="FCE0A7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B651D78"/>
    <w:multiLevelType w:val="singleLevel"/>
    <w:tmpl w:val="9A02BF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CE839B3"/>
    <w:multiLevelType w:val="singleLevel"/>
    <w:tmpl w:val="005AD3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6DD251E"/>
    <w:multiLevelType w:val="singleLevel"/>
    <w:tmpl w:val="5FC0A2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8975727"/>
    <w:multiLevelType w:val="singleLevel"/>
    <w:tmpl w:val="6B0410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2F9223F0"/>
    <w:multiLevelType w:val="singleLevel"/>
    <w:tmpl w:val="265638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71967F9"/>
    <w:multiLevelType w:val="singleLevel"/>
    <w:tmpl w:val="B83C5E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CFF3637"/>
    <w:multiLevelType w:val="singleLevel"/>
    <w:tmpl w:val="A9A248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D1B723A"/>
    <w:multiLevelType w:val="singleLevel"/>
    <w:tmpl w:val="C186C9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EC00BF4"/>
    <w:multiLevelType w:val="singleLevel"/>
    <w:tmpl w:val="3E92D1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FD1747B"/>
    <w:multiLevelType w:val="singleLevel"/>
    <w:tmpl w:val="B3EE42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A1007C4"/>
    <w:multiLevelType w:val="singleLevel"/>
    <w:tmpl w:val="D20247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576575F"/>
    <w:multiLevelType w:val="singleLevel"/>
    <w:tmpl w:val="03E60B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5EA4CB8"/>
    <w:multiLevelType w:val="singleLevel"/>
    <w:tmpl w:val="2EA859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E6B70D7"/>
    <w:multiLevelType w:val="singleLevel"/>
    <w:tmpl w:val="398C10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4C76BFA"/>
    <w:multiLevelType w:val="singleLevel"/>
    <w:tmpl w:val="9A02BF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A2F6567"/>
    <w:multiLevelType w:val="singleLevel"/>
    <w:tmpl w:val="75141B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D1A4EAC"/>
    <w:multiLevelType w:val="singleLevel"/>
    <w:tmpl w:val="012413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A7A689D"/>
    <w:multiLevelType w:val="singleLevel"/>
    <w:tmpl w:val="D68066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3"/>
  </w:num>
  <w:num w:numId="3">
    <w:abstractNumId w:val="4"/>
  </w:num>
  <w:num w:numId="4">
    <w:abstractNumId w:val="9"/>
  </w:num>
  <w:num w:numId="5">
    <w:abstractNumId w:val="3"/>
  </w:num>
  <w:num w:numId="6">
    <w:abstractNumId w:val="0"/>
  </w:num>
  <w:num w:numId="7">
    <w:abstractNumId w:val="16"/>
  </w:num>
  <w:num w:numId="8">
    <w:abstractNumId w:val="8"/>
  </w:num>
  <w:num w:numId="9">
    <w:abstractNumId w:val="18"/>
  </w:num>
  <w:num w:numId="10">
    <w:abstractNumId w:val="25"/>
  </w:num>
  <w:num w:numId="11">
    <w:abstractNumId w:val="15"/>
  </w:num>
  <w:num w:numId="12">
    <w:abstractNumId w:val="2"/>
  </w:num>
  <w:num w:numId="13">
    <w:abstractNumId w:val="14"/>
  </w:num>
  <w:num w:numId="14">
    <w:abstractNumId w:val="21"/>
  </w:num>
  <w:num w:numId="15">
    <w:abstractNumId w:val="1"/>
  </w:num>
  <w:num w:numId="16">
    <w:abstractNumId w:val="24"/>
  </w:num>
  <w:num w:numId="17">
    <w:abstractNumId w:val="7"/>
  </w:num>
  <w:num w:numId="18">
    <w:abstractNumId w:val="20"/>
  </w:num>
  <w:num w:numId="19">
    <w:abstractNumId w:val="17"/>
  </w:num>
  <w:num w:numId="20">
    <w:abstractNumId w:val="19"/>
  </w:num>
  <w:num w:numId="21">
    <w:abstractNumId w:val="23"/>
  </w:num>
  <w:num w:numId="22">
    <w:abstractNumId w:val="12"/>
  </w:num>
  <w:num w:numId="23">
    <w:abstractNumId w:val="11"/>
  </w:num>
  <w:num w:numId="24">
    <w:abstractNumId w:val="5"/>
  </w:num>
  <w:num w:numId="25">
    <w:abstractNumId w:val="6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83025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8302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8302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C029E55-1890-41C3-9178-5B16709BF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480</Words>
  <Characters>2742</Characters>
  <Application>Microsoft Office Word</Application>
  <DocSecurity>0</DocSecurity>
  <Lines>22</Lines>
  <Paragraphs>6</Paragraphs>
  <ScaleCrop>false</ScaleCrop>
  <Company/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2026-08-24T06:00:00Z</dcterms:created>
  <dcterms:modified xsi:type="dcterms:W3CDTF">2026-08-24T06:00:00Z</dcterms:modified>
</cp:coreProperties>
</file>