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42ACAB3" w:rsidR="0049405C" w:rsidRPr="00C24D79" w:rsidRDefault="00541021" w:rsidP="00541021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541021">
              <w:rPr>
                <w:rFonts w:ascii="等线" w:eastAsia="等线" w:hAnsi="Times New Roman"/>
                <w:b/>
                <w:color w:val="000000"/>
                <w:sz w:val="48"/>
              </w:rPr>
              <w:t>WANHUA HUO</w:t>
            </w:r>
            <w:bookmarkEnd w:id="0"/>
          </w:p>
          <w:p w14:paraId="61E5296C" w14:textId="77777777" w:rsidR="00541021" w:rsidRPr="00541021" w:rsidRDefault="00541021" w:rsidP="00541021">
            <w:pPr>
              <w:spacing w:line="360" w:lineRule="auto"/>
              <w:rPr>
                <w:rFonts w:ascii="等线" w:eastAsia="等线" w:hAnsi="Times New Roman"/>
                <w:b/>
                <w:bCs/>
                <w:color w:val="000000"/>
              </w:rPr>
            </w:pPr>
            <w:bookmarkStart w:id="2" w:name="didian"/>
            <w:r w:rsidRPr="00541021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541021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541021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</w:p>
          <w:p w14:paraId="706EB16B" w14:textId="2F72F74A" w:rsidR="0049405C" w:rsidRPr="00C24D79" w:rsidRDefault="00541021" w:rsidP="00541021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r w:rsidRPr="00541021">
              <w:rPr>
                <w:rFonts w:ascii="等线" w:eastAsia="等线" w:hAnsi="Times New Roman"/>
                <w:b/>
                <w:bCs/>
                <w:color w:val="000000"/>
              </w:rPr>
              <w:t>Registered Foreign Lawyer (PRC)</w:t>
            </w:r>
            <w:r w:rsidRPr="00541021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541021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6885B0AA" w:rsidR="0049405C" w:rsidRPr="00C24D79" w:rsidRDefault="00541021" w:rsidP="00541021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541021">
              <w:rPr>
                <w:rFonts w:ascii="等线" w:eastAsia="等线" w:hAnsi="Times New Roman"/>
                <w:color w:val="000000"/>
              </w:rPr>
              <w:t xml:space="preserve">+86 10 5769 5600 / +852 3976 8852 </w:t>
            </w:r>
            <w:bookmarkEnd w:id="3"/>
          </w:p>
          <w:p w14:paraId="4F910ACA" w14:textId="6BD76157" w:rsidR="0049405C" w:rsidRPr="00C24D79" w:rsidRDefault="00541021" w:rsidP="00541021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541021">
              <w:rPr>
                <w:rFonts w:ascii="等线" w:eastAsia="等线" w:hAnsi="Times New Roman"/>
                <w:color w:val="000000"/>
              </w:rPr>
              <w:t>wanhua.huo@fangdalaw.com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EA755F6" w:rsidR="0049405C" w:rsidRPr="00C24D79" w:rsidRDefault="00541021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49974FE" wp14:editId="51EE2CD3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0BE42E9" w:rsidR="009465FB" w:rsidRPr="00C24D79" w:rsidRDefault="00541021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541021">
              <w:rPr>
                <w:rFonts w:ascii="等线" w:eastAsia="等线" w:hAnsi="Times New Roman"/>
                <w:color w:val="000000"/>
                <w:szCs w:val="21"/>
              </w:rPr>
              <w:t>MS. HUO SPECIALIZES IN SECURITIES OFFERING AND LISTING, LISTED CORPORATION M&amp;A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5EF50C8" w14:textId="77777777" w:rsidR="00541021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A87A6E5" w14:textId="77777777" w:rsidR="00541021" w:rsidRDefault="00541021" w:rsidP="0054102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41021">
        <w:rPr>
          <w:rFonts w:ascii="等线" w:eastAsia="等线" w:hAnsi="等线"/>
          <w:b/>
          <w:sz w:val="24"/>
        </w:rPr>
        <w:t>REPRESENTATIVE MATTERS AND CASES</w:t>
      </w:r>
    </w:p>
    <w:p w14:paraId="6FE136BB" w14:textId="77777777" w:rsidR="00541021" w:rsidRDefault="00541021" w:rsidP="00541021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769B672" w14:textId="77777777" w:rsidR="00541021" w:rsidRDefault="00541021" w:rsidP="00541021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41021">
        <w:rPr>
          <w:rFonts w:ascii="等线" w:eastAsia="等线" w:hAnsi="Times New Roman"/>
          <w:color w:val="000000"/>
        </w:rPr>
        <w:t>Represented Advanced Micro-Fabrication Equipment Inc. China (688012.SH) in its A-shares IPO and listing on the Shanghai Stock Exchange STAR market</w:t>
      </w:r>
    </w:p>
    <w:p w14:paraId="47311481" w14:textId="77777777" w:rsidR="00541021" w:rsidRDefault="00541021" w:rsidP="00541021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41021">
        <w:rPr>
          <w:rFonts w:ascii="等线" w:eastAsia="等线" w:hAnsi="Times New Roman"/>
          <w:color w:val="000000"/>
        </w:rPr>
        <w:t>Represented the sponsor in connection with the A-shares IPO and listing on the Shanghai Stock Exchange STAR market of Bio-Thera Solutions, Ltd. (688177.SH)</w:t>
      </w:r>
    </w:p>
    <w:p w14:paraId="7A7F1D15" w14:textId="77777777" w:rsidR="00541021" w:rsidRDefault="00541021" w:rsidP="00541021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41021">
        <w:rPr>
          <w:rFonts w:ascii="等线" w:eastAsia="等线" w:hAnsi="Times New Roman"/>
          <w:color w:val="000000"/>
        </w:rPr>
        <w:t>Represented WuXi Apptec Co., Ltd (603259.SH/2359.HK) in its A-shares IPO and listing on Shanghai Stock Exchange, its H-shares IPO and listing on the Stock Exchange of Hong Kong and its issuance of US$300 million convertible bonds related to H shares</w:t>
      </w:r>
    </w:p>
    <w:p w14:paraId="6BEEA5A9" w14:textId="77777777" w:rsidR="00541021" w:rsidRDefault="00541021" w:rsidP="00541021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41021">
        <w:rPr>
          <w:rFonts w:ascii="等线" w:eastAsia="等线" w:hAnsi="Times New Roman"/>
          <w:color w:val="000000"/>
        </w:rPr>
        <w:t>Represented WuXi Apptec Co., Ltd (603259.SH/2359.HK) in its acquisition of minority shares of Shanghai SynTheAll Pharmaceutical Co., Ltd. (</w:t>
      </w:r>
      <w:r w:rsidRPr="00541021">
        <w:rPr>
          <w:rFonts w:ascii="等线" w:eastAsia="等线" w:hAnsi="Times New Roman"/>
          <w:color w:val="000000"/>
        </w:rPr>
        <w:t>“</w:t>
      </w:r>
      <w:r w:rsidRPr="00541021">
        <w:rPr>
          <w:rFonts w:ascii="等线" w:eastAsia="等线" w:hAnsi="Times New Roman"/>
          <w:color w:val="000000"/>
        </w:rPr>
        <w:t>STA</w:t>
      </w:r>
      <w:r w:rsidRPr="00541021">
        <w:rPr>
          <w:rFonts w:ascii="等线" w:eastAsia="等线" w:hAnsi="Times New Roman"/>
          <w:color w:val="000000"/>
        </w:rPr>
        <w:t>”</w:t>
      </w:r>
      <w:r w:rsidRPr="00541021">
        <w:rPr>
          <w:rFonts w:ascii="等线" w:eastAsia="等线" w:hAnsi="Times New Roman"/>
          <w:color w:val="000000"/>
        </w:rPr>
        <w:t>, 832159) and the delisting of STA from the NEEQ</w:t>
      </w:r>
    </w:p>
    <w:p w14:paraId="6A7B1F9B" w14:textId="77777777" w:rsidR="00541021" w:rsidRDefault="00541021" w:rsidP="00541021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41021">
        <w:rPr>
          <w:rFonts w:ascii="等线" w:eastAsia="等线" w:hAnsi="Times New Roman"/>
          <w:color w:val="000000"/>
        </w:rPr>
        <w:t>Represented the underwriter</w:t>
      </w:r>
      <w:r w:rsidRPr="00541021">
        <w:rPr>
          <w:rFonts w:ascii="等线" w:eastAsia="等线" w:hAnsi="Times New Roman"/>
          <w:color w:val="000000"/>
        </w:rPr>
        <w:t> </w:t>
      </w:r>
      <w:r w:rsidRPr="00541021">
        <w:rPr>
          <w:rFonts w:ascii="等线" w:eastAsia="等线" w:hAnsi="Times New Roman"/>
          <w:color w:val="000000"/>
        </w:rPr>
        <w:t xml:space="preserve"> in connection with the A-shares IPO and listing of Contemporary Amperex Technology Co., Limited (300750.SZ)</w:t>
      </w:r>
    </w:p>
    <w:p w14:paraId="05EDDFF0" w14:textId="77777777" w:rsidR="00541021" w:rsidRDefault="00541021" w:rsidP="00541021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41021">
        <w:rPr>
          <w:rFonts w:ascii="等线" w:eastAsia="等线" w:hAnsi="Times New Roman"/>
          <w:color w:val="000000"/>
        </w:rPr>
        <w:t>Represented the underwriter in connection with the IPO and listing on the Stock Exchange of Hong Kong of CSSC SHIPPING (3877.HK)</w:t>
      </w:r>
    </w:p>
    <w:p w14:paraId="2AB93FFB" w14:textId="77777777" w:rsidR="00541021" w:rsidRDefault="00541021" w:rsidP="00541021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41021">
        <w:rPr>
          <w:rFonts w:ascii="等线" w:eastAsia="等线" w:hAnsi="Times New Roman"/>
          <w:color w:val="000000"/>
        </w:rPr>
        <w:t>Represented the underwriter in connection with the H-shares IPO and listing of China Development Bank Financial Leasing Co., Ltd (1606.HK)</w:t>
      </w:r>
    </w:p>
    <w:p w14:paraId="0773F62D" w14:textId="77777777" w:rsidR="00541021" w:rsidRDefault="00541021" w:rsidP="00541021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41021">
        <w:rPr>
          <w:rFonts w:ascii="等线" w:eastAsia="等线" w:hAnsi="Times New Roman"/>
          <w:color w:val="000000"/>
        </w:rPr>
        <w:t>Represented the underwriter in connection with the public offering of RMB 4.9 billion A-share convertible bonds and non-public issuance of 4.712 billion A shares of China Molybdenum Co., Ltd. (603993.SH/3993.HK)</w:t>
      </w:r>
    </w:p>
    <w:p w14:paraId="162A8DB5" w14:textId="77777777" w:rsidR="00541021" w:rsidRDefault="00541021" w:rsidP="00541021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41021">
        <w:rPr>
          <w:rFonts w:ascii="等线" w:eastAsia="等线" w:hAnsi="Times New Roman"/>
          <w:color w:val="000000"/>
        </w:rPr>
        <w:t>Represented Bank of Chongqing (1963.HK) in its placing of new H shares</w:t>
      </w:r>
    </w:p>
    <w:p w14:paraId="6DE7E8DC" w14:textId="77777777" w:rsidR="00541021" w:rsidRDefault="00541021" w:rsidP="00541021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41021">
        <w:rPr>
          <w:rFonts w:ascii="等线" w:eastAsia="等线" w:hAnsi="Times New Roman"/>
          <w:color w:val="000000"/>
        </w:rPr>
        <w:t>Represented China Cinda (1359.HK) in its placing of new H shares</w:t>
      </w:r>
    </w:p>
    <w:p w14:paraId="4646A6F0" w14:textId="77777777" w:rsidR="00541021" w:rsidRDefault="00541021" w:rsidP="00541021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41021">
        <w:rPr>
          <w:rFonts w:ascii="等线" w:eastAsia="等线" w:hAnsi="Times New Roman"/>
          <w:color w:val="000000"/>
        </w:rPr>
        <w:t>Represented Sinopec (600028.SH, 386.HK) in its public offering of RMB 50 billion corporate bonds, the first installment of RMB 20 billion completed</w:t>
      </w:r>
    </w:p>
    <w:p w14:paraId="29BEF6E7" w14:textId="77777777" w:rsidR="00541021" w:rsidRDefault="00541021" w:rsidP="00541021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41021">
        <w:rPr>
          <w:rFonts w:ascii="等线" w:eastAsia="等线" w:hAnsi="Times New Roman"/>
          <w:color w:val="000000"/>
        </w:rPr>
        <w:t>Represented Sinopec Yizheng Chemical Fibre Company Limited (600871.SH, 1033.HK) in its material asset disposal, share repurchase, and issuance of new shares as payment for acquiring 100% interest of Sinopec Oilfield Service Corporation as well as in the ancillary financing of RMB 6 billion</w:t>
      </w:r>
    </w:p>
    <w:p w14:paraId="03B12C36" w14:textId="77777777" w:rsidR="00541021" w:rsidRDefault="00541021" w:rsidP="00541021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41021">
        <w:rPr>
          <w:rFonts w:ascii="等线" w:eastAsia="等线" w:hAnsi="Times New Roman"/>
          <w:color w:val="000000"/>
        </w:rPr>
        <w:t>Represented Sinopec (600028.SH/386.HK) in its placing of 2.84 billion new H shares and its public offering of RMB 23 billion A-share convertible bonds</w:t>
      </w:r>
    </w:p>
    <w:p w14:paraId="0B9DA52F" w14:textId="77777777" w:rsidR="00541021" w:rsidRDefault="00541021" w:rsidP="00541021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41021">
        <w:rPr>
          <w:rFonts w:ascii="等线" w:eastAsia="等线" w:hAnsi="Times New Roman"/>
          <w:color w:val="000000"/>
        </w:rPr>
        <w:t>Represented Air China (601111.SH/753.HK) in its non-public issuance of 193 million A shares</w:t>
      </w:r>
    </w:p>
    <w:p w14:paraId="608F126D" w14:textId="77777777" w:rsidR="00541021" w:rsidRDefault="00541021" w:rsidP="00541021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41021">
        <w:rPr>
          <w:rFonts w:ascii="等线" w:eastAsia="等线" w:hAnsi="Times New Roman"/>
          <w:color w:val="000000"/>
        </w:rPr>
        <w:t>Represented NATURE HOME (2083.HK) in its IPO and listing on the Stock Exchange of Hong Kong</w:t>
      </w:r>
    </w:p>
    <w:p w14:paraId="79F7885A" w14:textId="77777777" w:rsidR="00541021" w:rsidRDefault="00541021" w:rsidP="00541021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41021">
        <w:rPr>
          <w:rFonts w:ascii="等线" w:eastAsia="等线" w:hAnsi="Times New Roman"/>
          <w:color w:val="000000"/>
        </w:rPr>
        <w:t>Represented the underwriter in connection with multiple offshore RMB bonds issuances of the Central People</w:t>
      </w:r>
      <w:r w:rsidRPr="00541021">
        <w:rPr>
          <w:rFonts w:ascii="等线" w:eastAsia="等线" w:hAnsi="Times New Roman"/>
          <w:color w:val="000000"/>
        </w:rPr>
        <w:t>’</w:t>
      </w:r>
      <w:r w:rsidRPr="00541021">
        <w:rPr>
          <w:rFonts w:ascii="等线" w:eastAsia="等线" w:hAnsi="Times New Roman"/>
          <w:color w:val="000000"/>
        </w:rPr>
        <w:t>s Government</w:t>
      </w:r>
      <w:r w:rsidRPr="00541021">
        <w:rPr>
          <w:rFonts w:ascii="等线" w:eastAsia="等线" w:hAnsi="Times New Roman"/>
          <w:color w:val="000000"/>
        </w:rPr>
        <w:t>’</w:t>
      </w:r>
      <w:r w:rsidRPr="00541021">
        <w:rPr>
          <w:rFonts w:ascii="等线" w:eastAsia="等线" w:hAnsi="Times New Roman"/>
          <w:color w:val="000000"/>
        </w:rPr>
        <w:t>s Ministry of Finance (MOF), including MOF</w:t>
      </w:r>
      <w:r w:rsidRPr="00541021">
        <w:rPr>
          <w:rFonts w:ascii="等线" w:eastAsia="等线" w:hAnsi="Times New Roman"/>
          <w:color w:val="000000"/>
        </w:rPr>
        <w:t>’</w:t>
      </w:r>
      <w:r w:rsidRPr="00541021">
        <w:rPr>
          <w:rFonts w:ascii="等线" w:eastAsia="等线" w:hAnsi="Times New Roman"/>
          <w:color w:val="000000"/>
        </w:rPr>
        <w:t>s issuance of RMB bonds in London in 2016, USD bonds in Hong Kong in 2017-2018, RMB bonds in Macau in 2019, and EUR bonds in London in 2019</w:t>
      </w:r>
    </w:p>
    <w:p w14:paraId="3808E52E" w14:textId="77777777" w:rsidR="00541021" w:rsidRDefault="00541021" w:rsidP="00541021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41021">
        <w:rPr>
          <w:rFonts w:ascii="等线" w:eastAsia="等线" w:hAnsi="Times New Roman"/>
          <w:color w:val="000000"/>
        </w:rPr>
        <w:t>Represented the underwriter in connection with multiple offshore RMB bills issuances of The People</w:t>
      </w:r>
      <w:r w:rsidRPr="00541021">
        <w:rPr>
          <w:rFonts w:ascii="等线" w:eastAsia="等线" w:hAnsi="Times New Roman"/>
          <w:color w:val="000000"/>
        </w:rPr>
        <w:t>’</w:t>
      </w:r>
      <w:r w:rsidRPr="00541021">
        <w:rPr>
          <w:rFonts w:ascii="等线" w:eastAsia="等线" w:hAnsi="Times New Roman"/>
          <w:color w:val="000000"/>
        </w:rPr>
        <w:t>s Bank of China in 2018 and 2019</w:t>
      </w:r>
    </w:p>
    <w:p w14:paraId="790BC568" w14:textId="77777777" w:rsidR="00541021" w:rsidRDefault="00541021" w:rsidP="00541021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41021">
        <w:rPr>
          <w:rFonts w:ascii="等线" w:eastAsia="等线" w:hAnsi="Times New Roman"/>
          <w:color w:val="000000"/>
        </w:rPr>
        <w:t>Represented the underwriter in connection with multiple offshore USD bonds issuances by the SPVs of Sinopec Group or Sinopec (600028.SH/386.HK)</w:t>
      </w:r>
    </w:p>
    <w:p w14:paraId="66215E7F" w14:textId="77777777" w:rsidR="00541021" w:rsidRDefault="00541021" w:rsidP="00541021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41021">
        <w:rPr>
          <w:rFonts w:ascii="等线" w:eastAsia="等线" w:hAnsi="Times New Roman"/>
          <w:color w:val="000000"/>
        </w:rPr>
        <w:t>Represented e-Hi Car in its offshore USD bonds issuance</w:t>
      </w:r>
    </w:p>
    <w:p w14:paraId="076CDB1D" w14:textId="77777777" w:rsidR="00541021" w:rsidRDefault="00541021" w:rsidP="0054102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41021">
        <w:rPr>
          <w:rFonts w:ascii="等线" w:eastAsia="等线" w:hAnsi="等线"/>
          <w:b/>
          <w:sz w:val="24"/>
        </w:rPr>
        <w:t>Education</w:t>
      </w:r>
    </w:p>
    <w:p w14:paraId="647B5821" w14:textId="77777777" w:rsidR="00541021" w:rsidRDefault="00541021" w:rsidP="00541021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41021">
        <w:rPr>
          <w:rFonts w:ascii="等线" w:eastAsia="等线" w:hAnsi="Times New Roman"/>
          <w:color w:val="000000"/>
        </w:rPr>
        <w:t>China University of Political Science and Law, LL.B.</w:t>
      </w:r>
    </w:p>
    <w:p w14:paraId="78594EE8" w14:textId="77777777" w:rsidR="00541021" w:rsidRDefault="00541021" w:rsidP="00541021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41021">
        <w:rPr>
          <w:rFonts w:ascii="等线" w:eastAsia="等线" w:hAnsi="Times New Roman"/>
          <w:color w:val="000000"/>
        </w:rPr>
        <w:t>China University of Political Science and Law, LL.M.</w:t>
      </w:r>
    </w:p>
    <w:p w14:paraId="69BBA9D4" w14:textId="77777777" w:rsidR="00541021" w:rsidRDefault="00541021" w:rsidP="0054102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41021">
        <w:rPr>
          <w:rFonts w:ascii="等线" w:eastAsia="等线" w:hAnsi="等线"/>
          <w:b/>
          <w:sz w:val="24"/>
        </w:rPr>
        <w:t>Professional Qualification</w:t>
      </w:r>
    </w:p>
    <w:p w14:paraId="0E54DDE3" w14:textId="77777777" w:rsidR="00541021" w:rsidRDefault="00541021" w:rsidP="00541021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41021">
        <w:rPr>
          <w:rFonts w:ascii="等线" w:eastAsia="等线" w:hAnsi="Times New Roman"/>
          <w:color w:val="000000"/>
        </w:rPr>
        <w:t>Admitted to practice in the PRC</w:t>
      </w:r>
    </w:p>
    <w:p w14:paraId="3DD903C2" w14:textId="77777777" w:rsidR="00541021" w:rsidRDefault="00541021" w:rsidP="00541021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41021">
        <w:rPr>
          <w:rFonts w:ascii="等线" w:eastAsia="等线" w:hAnsi="Times New Roman"/>
          <w:color w:val="000000"/>
        </w:rPr>
        <w:t>Registered Foreign Lawyer in Hong Kong SAR</w:t>
      </w:r>
    </w:p>
    <w:p w14:paraId="4391335E" w14:textId="77777777" w:rsidR="00541021" w:rsidRDefault="00541021" w:rsidP="0054102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41021">
        <w:rPr>
          <w:rFonts w:ascii="等线" w:eastAsia="等线" w:hAnsi="等线"/>
          <w:b/>
          <w:sz w:val="24"/>
        </w:rPr>
        <w:t>Professional Background</w:t>
      </w:r>
    </w:p>
    <w:p w14:paraId="5567FC3C" w14:textId="346C824D" w:rsidR="00686369" w:rsidRPr="00541021" w:rsidRDefault="00541021" w:rsidP="00541021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41021">
        <w:rPr>
          <w:rFonts w:ascii="等线" w:eastAsia="等线" w:hAnsi="Times New Roman"/>
          <w:color w:val="000000"/>
        </w:rPr>
        <w:t>Ms. Huo joined Fangda Partners in 2015. Before that, she worked in a first-tier law firm in Beijing as a senior associate.</w:t>
      </w:r>
    </w:p>
    <w:sectPr w:rsidR="00686369" w:rsidRPr="0054102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9080A"/>
    <w:multiLevelType w:val="singleLevel"/>
    <w:tmpl w:val="AED6D7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2FC27BD"/>
    <w:multiLevelType w:val="singleLevel"/>
    <w:tmpl w:val="C4C408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63A103F"/>
    <w:multiLevelType w:val="singleLevel"/>
    <w:tmpl w:val="116CAC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A953418"/>
    <w:multiLevelType w:val="singleLevel"/>
    <w:tmpl w:val="1604F6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BDE7EC2"/>
    <w:multiLevelType w:val="singleLevel"/>
    <w:tmpl w:val="CFF213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E225B6C"/>
    <w:multiLevelType w:val="singleLevel"/>
    <w:tmpl w:val="82A80D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033353F"/>
    <w:multiLevelType w:val="singleLevel"/>
    <w:tmpl w:val="6B5631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1A80143"/>
    <w:multiLevelType w:val="singleLevel"/>
    <w:tmpl w:val="F998CC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24D3E78"/>
    <w:multiLevelType w:val="singleLevel"/>
    <w:tmpl w:val="B5367F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F901E01"/>
    <w:multiLevelType w:val="singleLevel"/>
    <w:tmpl w:val="8F787F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D513E58"/>
    <w:multiLevelType w:val="singleLevel"/>
    <w:tmpl w:val="8D069E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1566EC1"/>
    <w:multiLevelType w:val="singleLevel"/>
    <w:tmpl w:val="6004F4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42D66E3"/>
    <w:multiLevelType w:val="singleLevel"/>
    <w:tmpl w:val="BBDC92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E712CFC"/>
    <w:multiLevelType w:val="singleLevel"/>
    <w:tmpl w:val="FFD096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4B93976"/>
    <w:multiLevelType w:val="singleLevel"/>
    <w:tmpl w:val="D1DA2D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713732D"/>
    <w:multiLevelType w:val="singleLevel"/>
    <w:tmpl w:val="8B5E03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83F5328"/>
    <w:multiLevelType w:val="singleLevel"/>
    <w:tmpl w:val="D28AAC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FFE06C0"/>
    <w:multiLevelType w:val="singleLevel"/>
    <w:tmpl w:val="6D2C8C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A1E07A6"/>
    <w:multiLevelType w:val="singleLevel"/>
    <w:tmpl w:val="EF1A40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BC015DD"/>
    <w:multiLevelType w:val="singleLevel"/>
    <w:tmpl w:val="9E86FA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AC67F2E"/>
    <w:multiLevelType w:val="singleLevel"/>
    <w:tmpl w:val="1EEEDF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DAD5D44"/>
    <w:multiLevelType w:val="singleLevel"/>
    <w:tmpl w:val="839EAC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2167FDC"/>
    <w:multiLevelType w:val="singleLevel"/>
    <w:tmpl w:val="23C465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4652633"/>
    <w:multiLevelType w:val="singleLevel"/>
    <w:tmpl w:val="9766AE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9CA0FC0"/>
    <w:multiLevelType w:val="singleLevel"/>
    <w:tmpl w:val="839EAC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4"/>
  </w:num>
  <w:num w:numId="3">
    <w:abstractNumId w:val="25"/>
  </w:num>
  <w:num w:numId="4">
    <w:abstractNumId w:val="3"/>
  </w:num>
  <w:num w:numId="5">
    <w:abstractNumId w:val="9"/>
  </w:num>
  <w:num w:numId="6">
    <w:abstractNumId w:val="15"/>
  </w:num>
  <w:num w:numId="7">
    <w:abstractNumId w:val="12"/>
  </w:num>
  <w:num w:numId="8">
    <w:abstractNumId w:val="20"/>
  </w:num>
  <w:num w:numId="9">
    <w:abstractNumId w:val="13"/>
  </w:num>
  <w:num w:numId="10">
    <w:abstractNumId w:val="17"/>
  </w:num>
  <w:num w:numId="11">
    <w:abstractNumId w:val="0"/>
  </w:num>
  <w:num w:numId="12">
    <w:abstractNumId w:val="18"/>
  </w:num>
  <w:num w:numId="13">
    <w:abstractNumId w:val="1"/>
  </w:num>
  <w:num w:numId="14">
    <w:abstractNumId w:val="2"/>
  </w:num>
  <w:num w:numId="15">
    <w:abstractNumId w:val="21"/>
  </w:num>
  <w:num w:numId="16">
    <w:abstractNumId w:val="22"/>
  </w:num>
  <w:num w:numId="17">
    <w:abstractNumId w:val="7"/>
  </w:num>
  <w:num w:numId="18">
    <w:abstractNumId w:val="4"/>
  </w:num>
  <w:num w:numId="19">
    <w:abstractNumId w:val="8"/>
  </w:num>
  <w:num w:numId="20">
    <w:abstractNumId w:val="10"/>
  </w:num>
  <w:num w:numId="21">
    <w:abstractNumId w:val="16"/>
  </w:num>
  <w:num w:numId="22">
    <w:abstractNumId w:val="24"/>
  </w:num>
  <w:num w:numId="23">
    <w:abstractNumId w:val="6"/>
  </w:num>
  <w:num w:numId="24">
    <w:abstractNumId w:val="5"/>
  </w:num>
  <w:num w:numId="25">
    <w:abstractNumId w:val="19"/>
  </w:num>
  <w:num w:numId="26">
    <w:abstractNumId w:val="23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41021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4102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4102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6BAF071-A5A2-4C83-B067-A13EAFCBF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531</Words>
  <Characters>3033</Characters>
  <Application>Microsoft Office Word</Application>
  <DocSecurity>0</DocSecurity>
  <Lines>25</Lines>
  <Paragraphs>7</Paragraphs>
  <ScaleCrop>false</ScaleCrop>
  <Company/>
  <LinksUpToDate>false</LinksUpToDate>
  <CharactersWithSpaces>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2026-09-18T01:16:00Z</dcterms:created>
  <dcterms:modified xsi:type="dcterms:W3CDTF">2026-09-18T01:16:00Z</dcterms:modified>
</cp:coreProperties>
</file>