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EA3EF7D" w:rsidR="0049405C" w:rsidRPr="00C24D79" w:rsidRDefault="00CC00E4" w:rsidP="00CC00E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C00E4">
              <w:rPr>
                <w:rFonts w:ascii="等线" w:eastAsia="等线" w:hAnsi="Times New Roman"/>
                <w:b/>
                <w:color w:val="000000"/>
                <w:sz w:val="48"/>
              </w:rPr>
              <w:t>LINGQI WANG</w:t>
            </w:r>
            <w:bookmarkEnd w:id="0"/>
          </w:p>
          <w:p w14:paraId="706EB16B" w14:textId="12275F90" w:rsidR="0049405C" w:rsidRPr="00C24D79" w:rsidRDefault="00CC00E4" w:rsidP="00CC00E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C00E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C00E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C00E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B89BFED" w:rsidR="0049405C" w:rsidRPr="00C24D79" w:rsidRDefault="00CC00E4" w:rsidP="00CC00E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C00E4">
              <w:rPr>
                <w:rFonts w:ascii="等线" w:eastAsia="等线" w:hAnsi="Times New Roman"/>
                <w:color w:val="000000"/>
              </w:rPr>
              <w:t xml:space="preserve">+86 21 2208 1179 </w:t>
            </w:r>
            <w:bookmarkEnd w:id="3"/>
          </w:p>
          <w:p w14:paraId="4F910ACA" w14:textId="3E94ABCF" w:rsidR="0049405C" w:rsidRPr="00C24D79" w:rsidRDefault="00CC00E4" w:rsidP="00CC00E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C00E4">
              <w:rPr>
                <w:rFonts w:ascii="等线" w:eastAsia="等线" w:hAnsi="Times New Roman"/>
                <w:color w:val="000000"/>
              </w:rPr>
              <w:t>lingqi.wang@fangdalaw.com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90271B" w:rsidR="0049405C" w:rsidRPr="00C24D79" w:rsidRDefault="00CC00E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A3924BA" wp14:editId="20E3B1D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88FED54" w:rsidR="009465FB" w:rsidRPr="00C24D79" w:rsidRDefault="00CC00E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C00E4">
              <w:rPr>
                <w:rFonts w:ascii="等线" w:eastAsia="等线" w:hAnsi="Times New Roman"/>
                <w:color w:val="000000"/>
                <w:szCs w:val="21"/>
              </w:rPr>
              <w:t>MR. LINGQI WANG SPECIALIZES IN COMMERCIAL DISPUTE RESOLUTION AND RESTRUCTURING AND INSOLVENCY.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F0DEA4" w14:textId="77777777" w:rsidR="00CC00E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418F8B" w14:textId="77777777" w:rsidR="00CC00E4" w:rsidRDefault="00CC00E4" w:rsidP="00CC00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Lingqi specializes in commercial dispute resolution and restructuring and insolvency, particularly matters with cross-border elements. As litigation and arbitration counsel for corporations, private equity firms, hedge funds, and financial institutions, Lingqi handles significant commercial cases, including disputes involving buyout/minority investment, joint ventures, corporate control, contract and other complex commercial matters. In areas of restructuring and insolvency, Lingqi regularly acts as court-appointed administrator or counsel for shareholders, debtors, creditors and restructuring sponsors in large, complex cases of out-of-court restructuring, liquidation, reorganization and involuntary dissolution.</w:t>
      </w:r>
    </w:p>
    <w:p w14:paraId="2E7A61CD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REPRESENTATIVE MATTERS AND CASES</w:t>
      </w:r>
    </w:p>
    <w:p w14:paraId="18A4F8CC" w14:textId="77777777" w:rsidR="00CC00E4" w:rsidRDefault="00CC00E4" w:rsidP="00CC00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Commercial Dispute Resolutions</w:t>
      </w:r>
    </w:p>
    <w:p w14:paraId="2AFF4A39" w14:textId="77777777" w:rsidR="00CC00E4" w:rsidRDefault="00CC00E4" w:rsidP="00CC00E4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property developer with offshore structure in a shareholders dispute involving both Chinese and offshore litigations, with a dispute amount near RMB 10 billion</w:t>
      </w:r>
    </w:p>
    <w:p w14:paraId="517BEA62" w14:textId="77777777" w:rsidR="00CC00E4" w:rsidRDefault="00CC00E4" w:rsidP="00CC00E4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Hong Kong-appointed administrator in enforcing an RMB 2 billion judgement against a debtor in mainland China</w:t>
      </w:r>
    </w:p>
    <w:p w14:paraId="656D47BC" w14:textId="77777777" w:rsidR="00CC00E4" w:rsidRDefault="00CC00E4" w:rsidP="00CC00E4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the manager of a private equity fund in a series of cross-border disputes with the limited partners at a value over RMB 4 billion</w:t>
      </w:r>
    </w:p>
    <w:p w14:paraId="46DFE4AA" w14:textId="77777777" w:rsidR="00CC00E4" w:rsidRDefault="00CC00E4" w:rsidP="00CC00E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various internationally renowned venture capital and private equity funds in disputes related to their China investment, including shareholder disputes, joint venture disputes,</w:t>
      </w:r>
      <w:r w:rsidRPr="00CC00E4">
        <w:rPr>
          <w:rFonts w:ascii="等线" w:eastAsia="等线" w:hAnsi="Times New Roman"/>
          <w:color w:val="000000"/>
        </w:rPr>
        <w:t> </w:t>
      </w:r>
      <w:r w:rsidRPr="00CC00E4">
        <w:rPr>
          <w:rFonts w:ascii="等线" w:eastAsia="等线" w:hAnsi="Times New Roman"/>
          <w:color w:val="000000"/>
        </w:rPr>
        <w:t xml:space="preserve"> and matters relating to company dissolution and liquidation</w:t>
      </w:r>
    </w:p>
    <w:p w14:paraId="0439551D" w14:textId="77777777" w:rsidR="00CC00E4" w:rsidRDefault="00CC00E4" w:rsidP="00CC00E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Germany real-estate investment fund in SHIAC arbitration and related court proceedings in connection with dispute over the acquisition of a RMB 700 million real-estate project</w:t>
      </w:r>
    </w:p>
    <w:p w14:paraId="51CA01D6" w14:textId="77777777" w:rsidR="00CC00E4" w:rsidRDefault="00CC00E4" w:rsidP="00CC00E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Brazilian manufacturer in litigation arising from its acquisition of a Chinese company, which litigation also involved offshore arbitration proceedings</w:t>
      </w:r>
    </w:p>
    <w:p w14:paraId="7EE92ECB" w14:textId="77777777" w:rsidR="00CC00E4" w:rsidRDefault="00CC00E4" w:rsidP="00CC00E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Chinese private equity house in a merger and acquisition dispute for RMB 10 billion</w:t>
      </w:r>
    </w:p>
    <w:p w14:paraId="7DDFC7C4" w14:textId="77777777" w:rsidR="00CC00E4" w:rsidRDefault="00CC00E4" w:rsidP="00CC00E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European bank in litigation for RMB 200 million in respect of a cross-border financing arrangement and collateral management agreement</w:t>
      </w:r>
    </w:p>
    <w:p w14:paraId="67FC5752" w14:textId="77777777" w:rsidR="00CC00E4" w:rsidRDefault="00CC00E4" w:rsidP="00CC00E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Korean multinational corporation in respect of a shareholder derivative litigation against its Chinese joint venture partner, which proceeding was handled in parallel with arbitration proceedings in Singapore</w:t>
      </w:r>
    </w:p>
    <w:p w14:paraId="0400F9C7" w14:textId="77777777" w:rsidR="00CC00E4" w:rsidRDefault="00CC00E4" w:rsidP="00CC00E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global energy company in a shareholder dispute with its Chinese joint venture partner, involving derivative litigation in China and foreign arbitration</w:t>
      </w:r>
    </w:p>
    <w:p w14:paraId="627802B9" w14:textId="77777777" w:rsidR="00CC00E4" w:rsidRDefault="00CC00E4" w:rsidP="00CC00E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U.S. based manufacturer in a series of environment pollution disputes in China involving over 50 claimants</w:t>
      </w:r>
    </w:p>
    <w:p w14:paraId="21E8D449" w14:textId="77777777" w:rsidR="00CC00E4" w:rsidRDefault="00CC00E4" w:rsidP="00CC00E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Germany real estate project management company in a contract dispute involving multiple and competing CIETAC arbitration proceedings</w:t>
      </w:r>
    </w:p>
    <w:p w14:paraId="47B76801" w14:textId="77777777" w:rsidR="00CC00E4" w:rsidRDefault="00CC00E4" w:rsidP="00CC00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Restructuring and Insolvency</w:t>
      </w:r>
    </w:p>
    <w:p w14:paraId="27012B6A" w14:textId="77777777" w:rsidR="00CC00E4" w:rsidRDefault="00CC00E4" w:rsidP="00CC00E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Acting as administrator and joint administrators appointed by Chinese courts in a number of large and complicated bankruptcy reorganization and liquidation proceedings</w:t>
      </w:r>
    </w:p>
    <w:p w14:paraId="296CB583" w14:textId="77777777" w:rsidR="00CC00E4" w:rsidRDefault="00CC00E4" w:rsidP="00CC00E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various ad hoc committees of holders of USD bonds issued by a China-based issuer in relation to bond defaults and debt restructuring</w:t>
      </w:r>
    </w:p>
    <w:p w14:paraId="6A516B12" w14:textId="77777777" w:rsidR="00CC00E4" w:rsidRDefault="00CC00E4" w:rsidP="00CC00E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several internationally renowned special opportunity funds in their acquisition of distressed assets and investment in debt restructuring in China</w:t>
      </w:r>
    </w:p>
    <w:p w14:paraId="516D62B8" w14:textId="77777777" w:rsidR="00CC00E4" w:rsidRDefault="00CC00E4" w:rsidP="00CC00E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various foreign banks in relation to the cross-border insolvency and restructuring of China-based debtors and guarantors</w:t>
      </w:r>
    </w:p>
    <w:p w14:paraId="4A4D4513" w14:textId="77777777" w:rsidR="00CC00E4" w:rsidRDefault="00CC00E4" w:rsidP="00CC00E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number of U.S. companies under or about to enter Chapter 11 proceedings in respect to the restructuring of their Chinese operation</w:t>
      </w:r>
    </w:p>
    <w:p w14:paraId="33E59E84" w14:textId="77777777" w:rsidR="00CC00E4" w:rsidRDefault="00CC00E4" w:rsidP="00CC00E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an European steel manufacturer in restructuring its Chinese business</w:t>
      </w:r>
    </w:p>
    <w:p w14:paraId="657F37BF" w14:textId="77777777" w:rsidR="00CC00E4" w:rsidRDefault="00CC00E4" w:rsidP="00CC00E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U.S. retail company in restructuring its e-commerce business in China</w:t>
      </w:r>
    </w:p>
    <w:p w14:paraId="35A3CEBB" w14:textId="77777777" w:rsidR="00CC00E4" w:rsidRDefault="00CC00E4" w:rsidP="00CC00E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U.S. cold storage operator in restructuring its Chinese business</w:t>
      </w:r>
    </w:p>
    <w:p w14:paraId="53CA75EB" w14:textId="77777777" w:rsidR="00CC00E4" w:rsidRDefault="00CC00E4" w:rsidP="00CC00E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foreign liquidators and provisional liquidators in respect of taking over control of Chinese subsidiaries and enforcement actions in China</w:t>
      </w:r>
    </w:p>
    <w:p w14:paraId="5B4CA23C" w14:textId="77777777" w:rsidR="00CC00E4" w:rsidRDefault="00CC00E4" w:rsidP="00CC00E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multiple creditors in the bankruptcy reorganization of a distressed Chinese ship builder, involving multiple litigations, enforcement actions as well as bankruptcy proceedings</w:t>
      </w:r>
    </w:p>
    <w:p w14:paraId="46236E80" w14:textId="77777777" w:rsidR="00CC00E4" w:rsidRDefault="00CC00E4" w:rsidP="00CC00E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U.S. investment bank on its exercise of shareholder</w:t>
      </w:r>
      <w:r w:rsidRPr="00CC00E4">
        <w:rPr>
          <w:rFonts w:ascii="等线" w:eastAsia="等线" w:hAnsi="Times New Roman"/>
          <w:color w:val="000000"/>
        </w:rPr>
        <w:t>’</w:t>
      </w:r>
      <w:r w:rsidRPr="00CC00E4">
        <w:rPr>
          <w:rFonts w:ascii="等线" w:eastAsia="等线" w:hAnsi="Times New Roman"/>
          <w:color w:val="000000"/>
        </w:rPr>
        <w:t>s right-of-first-refusal in relation to the disposal of distressed assets, involving overlapping bankruptcy issues and regulatory issues of securities law and foreign exchange regulation; and</w:t>
      </w:r>
    </w:p>
    <w:p w14:paraId="481BD688" w14:textId="77777777" w:rsidR="00CC00E4" w:rsidRDefault="00CC00E4" w:rsidP="00CC00E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Representation of a U.S. healthcare company in compulsory liquidation of its Chinese joint ventures in the context of shareholder deadlock with its Chinese joint venture partner</w:t>
      </w:r>
    </w:p>
    <w:p w14:paraId="00953EE1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Education</w:t>
      </w:r>
    </w:p>
    <w:p w14:paraId="209DDD37" w14:textId="77777777" w:rsidR="00CC00E4" w:rsidRDefault="00CC00E4" w:rsidP="00CC00E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Fudan University School of Law, LL.B.</w:t>
      </w:r>
    </w:p>
    <w:p w14:paraId="3A9C0B1F" w14:textId="77777777" w:rsidR="00CC00E4" w:rsidRDefault="00CC00E4" w:rsidP="00CC00E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Columbia University Law School, LL.M, Harlan Fiske Stone Scholar</w:t>
      </w:r>
    </w:p>
    <w:p w14:paraId="6EB713EC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Professional Qualification</w:t>
      </w:r>
    </w:p>
    <w:p w14:paraId="3A46B88D" w14:textId="77777777" w:rsidR="00CC00E4" w:rsidRDefault="00CC00E4" w:rsidP="00CC00E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Admitted to practice in the PRC</w:t>
      </w:r>
    </w:p>
    <w:p w14:paraId="1151BE24" w14:textId="77777777" w:rsidR="00CC00E4" w:rsidRDefault="00CC00E4" w:rsidP="00CC00E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Admitted to practice in New York</w:t>
      </w:r>
    </w:p>
    <w:p w14:paraId="00EFE176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Professional Background</w:t>
      </w:r>
    </w:p>
    <w:p w14:paraId="28C0E962" w14:textId="77777777" w:rsidR="00CC00E4" w:rsidRDefault="00CC00E4" w:rsidP="00CC00E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Lingqi joined Fangda Partners in 2012 after working at another renowned Chinese firm.</w:t>
      </w:r>
    </w:p>
    <w:p w14:paraId="38AA1A8E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OTHER INFORMATION</w:t>
      </w:r>
    </w:p>
    <w:p w14:paraId="124A5355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Speeches</w:t>
      </w:r>
    </w:p>
    <w:p w14:paraId="346F70C1" w14:textId="77777777" w:rsidR="00CC00E4" w:rsidRDefault="00CC00E4" w:rsidP="00CC00E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The First Xiamen Cross-Border Insolvency Colloquium, hosted by Xiamen Bankruptcy Court, July 2021 </w:t>
      </w:r>
    </w:p>
    <w:p w14:paraId="235C6C93" w14:textId="77777777" w:rsidR="00CC00E4" w:rsidRDefault="00CC00E4" w:rsidP="00CC00E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Symposium on the Judicial Assistance Regime on Insolvency between Mainland China and Hong Kong SAR, hosted by Shanghai Bankruptcy Court, July 2021 </w:t>
      </w:r>
    </w:p>
    <w:p w14:paraId="0BF8E09B" w14:textId="77777777" w:rsidR="00CC00E4" w:rsidRDefault="00CC00E4" w:rsidP="00CC00E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Forum on Cross-boundary Insolvency Cooperation between the Mainland China and Hong Kong SAR, hosted by Shenzhen Bankruptcy Court, May 2021 </w:t>
      </w:r>
    </w:p>
    <w:p w14:paraId="0891F7BF" w14:textId="77777777" w:rsidR="00CC00E4" w:rsidRDefault="00CC00E4" w:rsidP="00CC00E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Speaker,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Restructuring PRC Companies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lectures and webinars hosted by various investment banks, private equity funds, and specialized publishers in the restructuring sector from 2019 through 2021 </w:t>
      </w:r>
    </w:p>
    <w:p w14:paraId="0EE3BE18" w14:textId="77777777" w:rsidR="00CC00E4" w:rsidRDefault="00CC00E4" w:rsidP="00CC00E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Directors</w:t>
      </w:r>
      <w:r w:rsidRPr="00CC00E4">
        <w:rPr>
          <w:rFonts w:ascii="等线" w:eastAsia="等线" w:hAnsi="Times New Roman"/>
          <w:color w:val="000000"/>
        </w:rPr>
        <w:t>’</w:t>
      </w:r>
      <w:r w:rsidRPr="00CC00E4">
        <w:rPr>
          <w:rFonts w:ascii="等线" w:eastAsia="等线" w:hAnsi="Times New Roman"/>
          <w:color w:val="000000"/>
        </w:rPr>
        <w:t xml:space="preserve"> Duties and Liabilities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INSOL Beijing and Shanghai Seminars, October 2020 </w:t>
      </w:r>
    </w:p>
    <w:p w14:paraId="4C26454B" w14:textId="77777777" w:rsidR="00CC00E4" w:rsidRDefault="00CC00E4" w:rsidP="00CC00E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Speaker,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Fundamental Issues of Cross-border Insolvency Cooperation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China Bankruptcy Law Symposium, Special Session on Cross-border Insolvency and Optimization of Doing Business, Suzhou, September 2019 </w:t>
      </w:r>
    </w:p>
    <w:p w14:paraId="32F1E9F8" w14:textId="77777777" w:rsidR="00CC00E4" w:rsidRDefault="00CC00E4" w:rsidP="00CC00E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Chinese Insolvency Regime and Cross-border Insolvency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 GRR Live 2 HK, Hong Kong, November 2018 </w:t>
      </w:r>
    </w:p>
    <w:p w14:paraId="75A19D65" w14:textId="77777777" w:rsidR="00CC00E4" w:rsidRDefault="00CC00E4" w:rsidP="00CC00E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Out-of-court Restructuring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The Eight East-Asia Insolvency and Restructuring Symposium held by China Banking Law Society, September 2016 </w:t>
      </w:r>
    </w:p>
    <w:p w14:paraId="0E5E9017" w14:textId="77777777" w:rsidR="00CC00E4" w:rsidRDefault="00CC00E4" w:rsidP="00CC00E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Panelist,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Effective Dispute Resolution for BRI Investments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SIAC-SHIAC Conference, Shanghai, September 2019 </w:t>
      </w:r>
    </w:p>
    <w:p w14:paraId="69CC37CB" w14:textId="77777777" w:rsidR="00CC00E4" w:rsidRDefault="00CC00E4" w:rsidP="00CC00E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Speaker,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Internal Disputes of Private Equity Funds and Cross-border Parallel Proceedings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SHIAC seminar on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Cross-border Dispute Resolution of Private Equity Funds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November 2018 </w:t>
      </w:r>
    </w:p>
    <w:p w14:paraId="2B47E3C3" w14:textId="77777777" w:rsidR="00CC00E4" w:rsidRDefault="00CC00E4" w:rsidP="00CC00E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Speaker, SHIAC seminar on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Prospect and Application of UNCITRAL Rules by Chinese Arbitration Institutions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, March 2017 </w:t>
      </w:r>
    </w:p>
    <w:p w14:paraId="5B9816C4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Publications</w:t>
      </w:r>
    </w:p>
    <w:p w14:paraId="0FFB7B47" w14:textId="77777777" w:rsidR="00CC00E4" w:rsidRDefault="00CC00E4" w:rsidP="00CC00E4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Journals and Books   Five ways to fail in your PRC interim relief application, Hong Kong Lawyer (2022) </w:t>
      </w:r>
    </w:p>
    <w:p w14:paraId="0565D932" w14:textId="77777777" w:rsidR="00CC00E4" w:rsidRDefault="00CC00E4" w:rsidP="00CC00E4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IBA Toolkit on Insolvency and Arbitration, China Chapter (2021) </w:t>
      </w:r>
    </w:p>
    <w:p w14:paraId="79BC05D3" w14:textId="77777777" w:rsidR="00CC00E4" w:rsidRDefault="00CC00E4" w:rsidP="00CC00E4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Asia-Pacific Restructuring Review 2021, China Chapter, Global Restructuring Review </w:t>
      </w:r>
    </w:p>
    <w:p w14:paraId="79D74BB3" w14:textId="77777777" w:rsidR="00CC00E4" w:rsidRDefault="00CC00E4" w:rsidP="00CC00E4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Chambers Global Practice Guides </w:t>
      </w:r>
      <w:r w:rsidRPr="00CC00E4">
        <w:rPr>
          <w:rFonts w:ascii="等线" w:eastAsia="等线" w:hAnsi="Times New Roman"/>
          <w:color w:val="000000"/>
        </w:rPr>
        <w:t>–</w:t>
      </w:r>
      <w:r w:rsidRPr="00CC00E4">
        <w:rPr>
          <w:rFonts w:ascii="等线" w:eastAsia="等线" w:hAnsi="Times New Roman"/>
          <w:color w:val="000000"/>
        </w:rPr>
        <w:t xml:space="preserve"> Insolvency, China Chapter (2020) </w:t>
      </w:r>
    </w:p>
    <w:p w14:paraId="667A7C71" w14:textId="77777777" w:rsidR="00CC00E4" w:rsidRDefault="00CC00E4" w:rsidP="00CC00E4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China</w:t>
      </w:r>
      <w:r w:rsidRPr="00CC00E4">
        <w:rPr>
          <w:rFonts w:ascii="等线" w:eastAsia="等线" w:hAnsi="Times New Roman"/>
          <w:color w:val="000000"/>
        </w:rPr>
        <w:t>’</w:t>
      </w:r>
      <w:r w:rsidRPr="00CC00E4">
        <w:rPr>
          <w:rFonts w:ascii="等线" w:eastAsia="等线" w:hAnsi="Times New Roman"/>
          <w:color w:val="000000"/>
        </w:rPr>
        <w:t xml:space="preserve">s Recognition of Foreign Insolvency Proceedings and VIE Structures, International Insolvency &amp; Restructuring Report (2020) </w:t>
      </w:r>
    </w:p>
    <w:p w14:paraId="6E7BB5A8" w14:textId="77777777" w:rsidR="00CC00E4" w:rsidRDefault="00CC00E4" w:rsidP="00CC00E4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Insolvency and Corporate Reorganization Report 2016, International Financial Law Review (2016) </w:t>
      </w:r>
    </w:p>
    <w:p w14:paraId="7D909EEE" w14:textId="77777777" w:rsidR="00CC00E4" w:rsidRDefault="00CC00E4" w:rsidP="00CC00E4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Enforcement of Judgments and Arbitral Awards: A Global Guide from Practical Law 2nd Edition (China Chapter), Thomson Reuters (2015) </w:t>
      </w:r>
    </w:p>
    <w:p w14:paraId="204286DD" w14:textId="77777777" w:rsidR="00CC00E4" w:rsidRDefault="00CC00E4" w:rsidP="00CC00E4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Insolvency and Corporate Reorganization Report 2015, International Financial Law Review (2015) </w:t>
      </w:r>
    </w:p>
    <w:p w14:paraId="36D9B742" w14:textId="77777777" w:rsidR="00CC00E4" w:rsidRDefault="00CC00E4" w:rsidP="00CC00E4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Papers and Research Projects   Judicial Practice of the Bankruptcy of Financial Institutions </w:t>
      </w:r>
      <w:r w:rsidRPr="00CC00E4">
        <w:rPr>
          <w:rFonts w:ascii="等线" w:eastAsia="等线" w:hAnsi="Times New Roman"/>
          <w:color w:val="000000"/>
        </w:rPr>
        <w:t>–</w:t>
      </w:r>
      <w:r w:rsidRPr="00CC00E4">
        <w:rPr>
          <w:rFonts w:ascii="等线" w:eastAsia="等线" w:hAnsi="Times New Roman"/>
          <w:color w:val="000000"/>
        </w:rPr>
        <w:t xml:space="preserve"> A Comparative Law Perspective, research project commissioned by Shanghai Financial Court (2020) </w:t>
      </w:r>
    </w:p>
    <w:p w14:paraId="455463B3" w14:textId="77777777" w:rsidR="00CC00E4" w:rsidRDefault="00CC00E4" w:rsidP="00CC00E4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>Assistance in Cross-border Insolvency of Group Companies, research project commissioned by Supreme People</w:t>
      </w:r>
      <w:r w:rsidRPr="00CC00E4">
        <w:rPr>
          <w:rFonts w:ascii="等线" w:eastAsia="等线" w:hAnsi="Times New Roman"/>
          <w:color w:val="000000"/>
        </w:rPr>
        <w:t>’</w:t>
      </w:r>
      <w:r w:rsidRPr="00CC00E4">
        <w:rPr>
          <w:rFonts w:ascii="等线" w:eastAsia="等线" w:hAnsi="Times New Roman"/>
          <w:color w:val="000000"/>
        </w:rPr>
        <w:t xml:space="preserve">s Court (2019) </w:t>
      </w:r>
    </w:p>
    <w:p w14:paraId="2016842C" w14:textId="77777777" w:rsidR="00CC00E4" w:rsidRDefault="00CC00E4" w:rsidP="00CC00E4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A Review of the </w:t>
      </w:r>
      <w:r w:rsidRPr="00CC00E4">
        <w:rPr>
          <w:rFonts w:ascii="等线" w:eastAsia="等线" w:hAnsi="Times New Roman"/>
          <w:color w:val="000000"/>
        </w:rPr>
        <w:t>“</w:t>
      </w:r>
      <w:r w:rsidRPr="00CC00E4">
        <w:rPr>
          <w:rFonts w:ascii="等线" w:eastAsia="等线" w:hAnsi="Times New Roman"/>
          <w:color w:val="000000"/>
        </w:rPr>
        <w:t>Thumb Case</w:t>
      </w:r>
      <w:r w:rsidRPr="00CC00E4">
        <w:rPr>
          <w:rFonts w:ascii="等线" w:eastAsia="等线" w:hAnsi="Times New Roman"/>
          <w:color w:val="000000"/>
        </w:rPr>
        <w:t>”</w:t>
      </w:r>
      <w:r w:rsidRPr="00CC00E4">
        <w:rPr>
          <w:rFonts w:ascii="等线" w:eastAsia="等线" w:hAnsi="Times New Roman"/>
          <w:color w:val="000000"/>
        </w:rPr>
        <w:t xml:space="preserve"> from the Perspective of Cross-border Bankruptcy, Research Paper for the Fourth China Bankruptcy Law Practice Forum (2015) </w:t>
      </w:r>
    </w:p>
    <w:p w14:paraId="334948CD" w14:textId="77777777" w:rsidR="00CC00E4" w:rsidRDefault="00CC00E4" w:rsidP="00CC00E4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The Latest Development of Cross-border Insolvency, The Second Summit of Market-Oriented Bankruptcy (2018) </w:t>
      </w:r>
    </w:p>
    <w:p w14:paraId="50BE74CF" w14:textId="77777777" w:rsidR="00CC00E4" w:rsidRDefault="00CC00E4" w:rsidP="00CC00E4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Several Fundamental Issues of Cooperation in Cross-border Insolvency, The Tenth China Bankruptcy Law Forum (2019) </w:t>
      </w:r>
    </w:p>
    <w:p w14:paraId="61451BD7" w14:textId="77777777" w:rsidR="00CC00E4" w:rsidRDefault="00CC00E4" w:rsidP="00CC00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0E4">
        <w:rPr>
          <w:rFonts w:ascii="等线" w:eastAsia="等线" w:hAnsi="等线"/>
          <w:b/>
          <w:sz w:val="24"/>
        </w:rPr>
        <w:t>Professional Affiliations</w:t>
      </w:r>
    </w:p>
    <w:p w14:paraId="6033E927" w14:textId="77777777" w:rsidR="00CC00E4" w:rsidRDefault="00CC00E4" w:rsidP="00CC00E4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Member of the Asian Advisory Council of INSOL </w:t>
      </w:r>
    </w:p>
    <w:p w14:paraId="7D7AE106" w14:textId="77777777" w:rsidR="00CC00E4" w:rsidRDefault="00CC00E4" w:rsidP="00CC00E4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Member of the Foreign Affairs Committee of Shanghai Bar Association </w:t>
      </w:r>
    </w:p>
    <w:p w14:paraId="5567FC3C" w14:textId="1B8A9C49" w:rsidR="00686369" w:rsidRPr="00CC00E4" w:rsidRDefault="00CC00E4" w:rsidP="00CC00E4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0E4">
        <w:rPr>
          <w:rFonts w:ascii="等线" w:eastAsia="等线" w:hAnsi="Times New Roman"/>
          <w:color w:val="000000"/>
        </w:rPr>
        <w:t xml:space="preserve">Arbitrator of Shanghai International Arbitration Centre (SHIAC) </w:t>
      </w:r>
    </w:p>
    <w:sectPr w:rsidR="00686369" w:rsidRPr="00CC00E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B0790"/>
    <w:multiLevelType w:val="singleLevel"/>
    <w:tmpl w:val="43C44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393D4A"/>
    <w:multiLevelType w:val="singleLevel"/>
    <w:tmpl w:val="B2282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6725C7"/>
    <w:multiLevelType w:val="singleLevel"/>
    <w:tmpl w:val="D6B46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DA6E7A"/>
    <w:multiLevelType w:val="singleLevel"/>
    <w:tmpl w:val="CE40F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98179C"/>
    <w:multiLevelType w:val="singleLevel"/>
    <w:tmpl w:val="30D49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F30422"/>
    <w:multiLevelType w:val="singleLevel"/>
    <w:tmpl w:val="06485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0448F9"/>
    <w:multiLevelType w:val="singleLevel"/>
    <w:tmpl w:val="FA146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9D1EC7"/>
    <w:multiLevelType w:val="singleLevel"/>
    <w:tmpl w:val="B6B25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B95B03"/>
    <w:multiLevelType w:val="singleLevel"/>
    <w:tmpl w:val="5A8AF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3D578A"/>
    <w:multiLevelType w:val="singleLevel"/>
    <w:tmpl w:val="87486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30F0A22"/>
    <w:multiLevelType w:val="singleLevel"/>
    <w:tmpl w:val="205CC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28535D"/>
    <w:multiLevelType w:val="singleLevel"/>
    <w:tmpl w:val="8F0C6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F87074"/>
    <w:multiLevelType w:val="singleLevel"/>
    <w:tmpl w:val="85BC1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CD20EB7"/>
    <w:multiLevelType w:val="singleLevel"/>
    <w:tmpl w:val="541AC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CB1419"/>
    <w:multiLevelType w:val="singleLevel"/>
    <w:tmpl w:val="E73A4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665478"/>
    <w:multiLevelType w:val="singleLevel"/>
    <w:tmpl w:val="6966E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627075"/>
    <w:multiLevelType w:val="singleLevel"/>
    <w:tmpl w:val="D9DA03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E704E1"/>
    <w:multiLevelType w:val="singleLevel"/>
    <w:tmpl w:val="D226B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3A56A7"/>
    <w:multiLevelType w:val="singleLevel"/>
    <w:tmpl w:val="1230F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794377"/>
    <w:multiLevelType w:val="singleLevel"/>
    <w:tmpl w:val="702A8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44228A"/>
    <w:multiLevelType w:val="singleLevel"/>
    <w:tmpl w:val="E312E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C5785E"/>
    <w:multiLevelType w:val="singleLevel"/>
    <w:tmpl w:val="A656A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9751BA"/>
    <w:multiLevelType w:val="singleLevel"/>
    <w:tmpl w:val="2F8A4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CF170F"/>
    <w:multiLevelType w:val="singleLevel"/>
    <w:tmpl w:val="6F6E5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3F79F8"/>
    <w:multiLevelType w:val="singleLevel"/>
    <w:tmpl w:val="E25EB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FA66A89"/>
    <w:multiLevelType w:val="singleLevel"/>
    <w:tmpl w:val="8B524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004786C"/>
    <w:multiLevelType w:val="singleLevel"/>
    <w:tmpl w:val="5E403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03B2438"/>
    <w:multiLevelType w:val="singleLevel"/>
    <w:tmpl w:val="A87E8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0772F99"/>
    <w:multiLevelType w:val="singleLevel"/>
    <w:tmpl w:val="3112C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271130F"/>
    <w:multiLevelType w:val="singleLevel"/>
    <w:tmpl w:val="6936D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38B405F"/>
    <w:multiLevelType w:val="singleLevel"/>
    <w:tmpl w:val="5F329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E52415F"/>
    <w:multiLevelType w:val="singleLevel"/>
    <w:tmpl w:val="E4041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F144E21"/>
    <w:multiLevelType w:val="singleLevel"/>
    <w:tmpl w:val="DE1C8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1A070B2"/>
    <w:multiLevelType w:val="singleLevel"/>
    <w:tmpl w:val="2BC8E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46C3E19"/>
    <w:multiLevelType w:val="singleLevel"/>
    <w:tmpl w:val="7D5A7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53A1C86"/>
    <w:multiLevelType w:val="singleLevel"/>
    <w:tmpl w:val="8EEC8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5720E5A"/>
    <w:multiLevelType w:val="singleLevel"/>
    <w:tmpl w:val="42308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7B84A16"/>
    <w:multiLevelType w:val="singleLevel"/>
    <w:tmpl w:val="2A6A6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7F20801"/>
    <w:multiLevelType w:val="singleLevel"/>
    <w:tmpl w:val="1B82C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7F745CB"/>
    <w:multiLevelType w:val="singleLevel"/>
    <w:tmpl w:val="1E4C9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81652AD"/>
    <w:multiLevelType w:val="singleLevel"/>
    <w:tmpl w:val="2C60B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9B177FA"/>
    <w:multiLevelType w:val="singleLevel"/>
    <w:tmpl w:val="14DCB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9BB0AE4"/>
    <w:multiLevelType w:val="singleLevel"/>
    <w:tmpl w:val="3A124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B242324"/>
    <w:multiLevelType w:val="singleLevel"/>
    <w:tmpl w:val="00C86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B5A3021"/>
    <w:multiLevelType w:val="singleLevel"/>
    <w:tmpl w:val="927A0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BD50704"/>
    <w:multiLevelType w:val="singleLevel"/>
    <w:tmpl w:val="54E08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BD92C3E"/>
    <w:multiLevelType w:val="singleLevel"/>
    <w:tmpl w:val="5A60B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E9E7A38"/>
    <w:multiLevelType w:val="singleLevel"/>
    <w:tmpl w:val="8F0EA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F89394C"/>
    <w:multiLevelType w:val="singleLevel"/>
    <w:tmpl w:val="C1BE4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08443F7"/>
    <w:multiLevelType w:val="singleLevel"/>
    <w:tmpl w:val="981269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26852BF"/>
    <w:multiLevelType w:val="singleLevel"/>
    <w:tmpl w:val="5F329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5076D6E"/>
    <w:multiLevelType w:val="singleLevel"/>
    <w:tmpl w:val="ADB8E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52B338A"/>
    <w:multiLevelType w:val="singleLevel"/>
    <w:tmpl w:val="4760B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8CC74D9"/>
    <w:multiLevelType w:val="singleLevel"/>
    <w:tmpl w:val="1E8AF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DBA293F"/>
    <w:multiLevelType w:val="singleLevel"/>
    <w:tmpl w:val="28F00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E5B3099"/>
    <w:multiLevelType w:val="singleLevel"/>
    <w:tmpl w:val="DEAE6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3"/>
  </w:num>
  <w:num w:numId="2">
    <w:abstractNumId w:val="22"/>
  </w:num>
  <w:num w:numId="3">
    <w:abstractNumId w:val="1"/>
  </w:num>
  <w:num w:numId="4">
    <w:abstractNumId w:val="15"/>
  </w:num>
  <w:num w:numId="5">
    <w:abstractNumId w:val="41"/>
  </w:num>
  <w:num w:numId="6">
    <w:abstractNumId w:val="34"/>
  </w:num>
  <w:num w:numId="7">
    <w:abstractNumId w:val="18"/>
  </w:num>
  <w:num w:numId="8">
    <w:abstractNumId w:val="44"/>
  </w:num>
  <w:num w:numId="9">
    <w:abstractNumId w:val="38"/>
  </w:num>
  <w:num w:numId="10">
    <w:abstractNumId w:val="32"/>
  </w:num>
  <w:num w:numId="11">
    <w:abstractNumId w:val="17"/>
  </w:num>
  <w:num w:numId="12">
    <w:abstractNumId w:val="46"/>
  </w:num>
  <w:num w:numId="13">
    <w:abstractNumId w:val="25"/>
  </w:num>
  <w:num w:numId="14">
    <w:abstractNumId w:val="28"/>
  </w:num>
  <w:num w:numId="15">
    <w:abstractNumId w:val="26"/>
  </w:num>
  <w:num w:numId="16">
    <w:abstractNumId w:val="11"/>
  </w:num>
  <w:num w:numId="17">
    <w:abstractNumId w:val="52"/>
  </w:num>
  <w:num w:numId="18">
    <w:abstractNumId w:val="20"/>
  </w:num>
  <w:num w:numId="19">
    <w:abstractNumId w:val="47"/>
  </w:num>
  <w:num w:numId="20">
    <w:abstractNumId w:val="35"/>
  </w:num>
  <w:num w:numId="21">
    <w:abstractNumId w:val="45"/>
  </w:num>
  <w:num w:numId="22">
    <w:abstractNumId w:val="0"/>
  </w:num>
  <w:num w:numId="23">
    <w:abstractNumId w:val="43"/>
  </w:num>
  <w:num w:numId="24">
    <w:abstractNumId w:val="9"/>
  </w:num>
  <w:num w:numId="25">
    <w:abstractNumId w:val="4"/>
  </w:num>
  <w:num w:numId="26">
    <w:abstractNumId w:val="16"/>
  </w:num>
  <w:num w:numId="27">
    <w:abstractNumId w:val="12"/>
  </w:num>
  <w:num w:numId="28">
    <w:abstractNumId w:val="13"/>
  </w:num>
  <w:num w:numId="29">
    <w:abstractNumId w:val="21"/>
  </w:num>
  <w:num w:numId="30">
    <w:abstractNumId w:val="49"/>
  </w:num>
  <w:num w:numId="31">
    <w:abstractNumId w:val="8"/>
  </w:num>
  <w:num w:numId="32">
    <w:abstractNumId w:val="39"/>
  </w:num>
  <w:num w:numId="33">
    <w:abstractNumId w:val="33"/>
  </w:num>
  <w:num w:numId="34">
    <w:abstractNumId w:val="5"/>
  </w:num>
  <w:num w:numId="35">
    <w:abstractNumId w:val="2"/>
  </w:num>
  <w:num w:numId="36">
    <w:abstractNumId w:val="24"/>
  </w:num>
  <w:num w:numId="37">
    <w:abstractNumId w:val="31"/>
  </w:num>
  <w:num w:numId="38">
    <w:abstractNumId w:val="29"/>
  </w:num>
  <w:num w:numId="39">
    <w:abstractNumId w:val="51"/>
  </w:num>
  <w:num w:numId="40">
    <w:abstractNumId w:val="7"/>
  </w:num>
  <w:num w:numId="41">
    <w:abstractNumId w:val="6"/>
  </w:num>
  <w:num w:numId="42">
    <w:abstractNumId w:val="37"/>
  </w:num>
  <w:num w:numId="43">
    <w:abstractNumId w:val="48"/>
  </w:num>
  <w:num w:numId="44">
    <w:abstractNumId w:val="54"/>
  </w:num>
  <w:num w:numId="45">
    <w:abstractNumId w:val="27"/>
  </w:num>
  <w:num w:numId="46">
    <w:abstractNumId w:val="10"/>
  </w:num>
  <w:num w:numId="47">
    <w:abstractNumId w:val="23"/>
  </w:num>
  <w:num w:numId="48">
    <w:abstractNumId w:val="19"/>
  </w:num>
  <w:num w:numId="49">
    <w:abstractNumId w:val="36"/>
  </w:num>
  <w:num w:numId="50">
    <w:abstractNumId w:val="42"/>
  </w:num>
  <w:num w:numId="51">
    <w:abstractNumId w:val="55"/>
  </w:num>
  <w:num w:numId="52">
    <w:abstractNumId w:val="14"/>
  </w:num>
  <w:num w:numId="53">
    <w:abstractNumId w:val="3"/>
  </w:num>
  <w:num w:numId="54">
    <w:abstractNumId w:val="40"/>
  </w:num>
  <w:num w:numId="55">
    <w:abstractNumId w:val="30"/>
  </w:num>
  <w:num w:numId="56">
    <w:abstractNumId w:val="5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C00E4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00E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00E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F9B089-BF7A-4948-A213-346EDD357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2026-07-16T15:50:00Z</dcterms:created>
  <dcterms:modified xsi:type="dcterms:W3CDTF">2026-07-16T15:50:00Z</dcterms:modified>
</cp:coreProperties>
</file>