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A2EC434" w:rsidR="0049405C" w:rsidRPr="00C24D79" w:rsidRDefault="00AA34A4" w:rsidP="00AA34A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A34A4">
              <w:rPr>
                <w:rFonts w:ascii="等线" w:eastAsia="等线" w:hAnsi="Times New Roman"/>
                <w:b/>
                <w:color w:val="000000"/>
                <w:sz w:val="48"/>
              </w:rPr>
              <w:t>LINGQI WANG</w:t>
            </w:r>
            <w:bookmarkEnd w:id="0"/>
          </w:p>
          <w:p w14:paraId="706EB16B" w14:textId="3F29BE0E" w:rsidR="0049405C" w:rsidRPr="00C24D79" w:rsidRDefault="00AA34A4" w:rsidP="00AA34A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A34A4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AA34A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A34A4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F6CFDA5" w:rsidR="0049405C" w:rsidRPr="00C24D79" w:rsidRDefault="00AA34A4" w:rsidP="00AA34A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A34A4">
              <w:rPr>
                <w:rFonts w:ascii="等线" w:eastAsia="等线" w:hAnsi="Times New Roman"/>
                <w:color w:val="000000"/>
              </w:rPr>
              <w:t xml:space="preserve">+86 21 2208 1179 </w:t>
            </w:r>
            <w:bookmarkEnd w:id="3"/>
          </w:p>
          <w:p w14:paraId="4F910ACA" w14:textId="534B859F" w:rsidR="0049405C" w:rsidRPr="00C24D79" w:rsidRDefault="00AA34A4" w:rsidP="00AA34A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A34A4">
              <w:rPr>
                <w:rFonts w:ascii="等线" w:eastAsia="等线" w:hAnsi="Times New Roman"/>
                <w:color w:val="000000"/>
              </w:rPr>
              <w:t>lingqi.wang@fangdalaw.com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E27E36F" w:rsidR="0049405C" w:rsidRPr="00C24D79" w:rsidRDefault="00AA34A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B4CEB85" wp14:editId="4E79377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3520712" w:rsidR="009465FB" w:rsidRPr="00C24D79" w:rsidRDefault="00AA34A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A34A4">
              <w:rPr>
                <w:rFonts w:ascii="等线" w:eastAsia="等线" w:hAnsi="Times New Roman"/>
                <w:color w:val="000000"/>
                <w:szCs w:val="21"/>
              </w:rPr>
              <w:t>MR. LINGQI WANG SPECIALIZES IN COMMERCIAL DISPUTE RESOLUTION AND RESTRUCTURING AND INSOLVENCY.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47DE2AA" w14:textId="77777777" w:rsidR="00AA34A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E802206" w14:textId="77777777" w:rsidR="00AA34A4" w:rsidRDefault="00AA34A4" w:rsidP="00AA34A4">
      <w:pPr>
        <w:pStyle w:val="af5"/>
        <w:spacing w:before="12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Lingqi specializes in commercial dispute resolution and restructuring and insolvency, particularly matters with cross-border elements. As litigation and arbitration counsel for corporations, private equity firms, hedge funds, and financial institutions, Lingqi handles significant commercial cases, including disputes involving buyout/minority investment, joint ventures, corporate control, contract and other complex commercial matters. In areas of restructuring and insolvency, Lingqi regularly acts as court-appointed administrator or counsel for shareholders, debtors, creditors and restructuring sponsors in large, complex cases of out-of-court restructuring, liquidation, reorganization and involuntary dissolution.</w:t>
      </w:r>
    </w:p>
    <w:p w14:paraId="0F5B56E1" w14:textId="77777777" w:rsidR="00AA34A4" w:rsidRDefault="00AA34A4" w:rsidP="00AA34A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A34A4">
        <w:rPr>
          <w:rFonts w:ascii="等线" w:eastAsia="等线" w:hAnsi="等线"/>
          <w:b/>
          <w:sz w:val="24"/>
        </w:rPr>
        <w:t>REPRESENTATIVE MATTERS AND CASES</w:t>
      </w:r>
    </w:p>
    <w:p w14:paraId="117C0667" w14:textId="77777777" w:rsidR="00AA34A4" w:rsidRDefault="00AA34A4" w:rsidP="00AA34A4">
      <w:pPr>
        <w:pStyle w:val="af5"/>
        <w:spacing w:before="12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Commercial Dispute Resolutions</w:t>
      </w:r>
    </w:p>
    <w:p w14:paraId="31A69DB6" w14:textId="77777777" w:rsidR="00AA34A4" w:rsidRDefault="00AA34A4" w:rsidP="00AA34A4">
      <w:pPr>
        <w:pStyle w:val="af5"/>
        <w:numPr>
          <w:ilvl w:val="0"/>
          <w:numId w:val="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Representation of a property developer with offshore structure in a shareholders dispute involving both Chinese and offshore litigations, with a dispute amount near RMB 10 billion</w:t>
      </w:r>
    </w:p>
    <w:p w14:paraId="67C8A2FB" w14:textId="77777777" w:rsidR="00AA34A4" w:rsidRDefault="00AA34A4" w:rsidP="00AA34A4">
      <w:pPr>
        <w:pStyle w:val="af5"/>
        <w:numPr>
          <w:ilvl w:val="0"/>
          <w:numId w:val="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Representation of a Hong Kong-appointed administrator in enforcing an RMB 2 billion judgement against a debtor in mainland China</w:t>
      </w:r>
    </w:p>
    <w:p w14:paraId="29CD5C1D" w14:textId="77777777" w:rsidR="00AA34A4" w:rsidRDefault="00AA34A4" w:rsidP="00AA34A4">
      <w:pPr>
        <w:pStyle w:val="af5"/>
        <w:numPr>
          <w:ilvl w:val="0"/>
          <w:numId w:val="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Representation of the manager of a private equity fund in a series of cross-border disputes with the limited partners at a value over RMB 4 billion</w:t>
      </w:r>
    </w:p>
    <w:p w14:paraId="1389939C" w14:textId="77777777" w:rsidR="00AA34A4" w:rsidRDefault="00AA34A4" w:rsidP="00AA34A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Representation of various internationally renowned venture capital and private equity funds in disputes related to their China investment, including shareholder disputes, joint venture disputes,</w:t>
      </w:r>
      <w:r w:rsidRPr="00AA34A4">
        <w:rPr>
          <w:rFonts w:ascii="等线" w:eastAsia="等线" w:hAnsi="Times New Roman"/>
          <w:color w:val="000000"/>
        </w:rPr>
        <w:t> </w:t>
      </w:r>
      <w:r w:rsidRPr="00AA34A4">
        <w:rPr>
          <w:rFonts w:ascii="等线" w:eastAsia="等线" w:hAnsi="Times New Roman"/>
          <w:color w:val="000000"/>
        </w:rPr>
        <w:t xml:space="preserve"> and matters relating to company dissolution and liquidation</w:t>
      </w:r>
    </w:p>
    <w:p w14:paraId="590D43E2" w14:textId="77777777" w:rsidR="00AA34A4" w:rsidRDefault="00AA34A4" w:rsidP="00AA34A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Representation of a Germany real-estate investment fund in SHIAC arbitration and related court proceedings in connection with dispute over the acquisition of a RMB 700 million real-estate project</w:t>
      </w:r>
    </w:p>
    <w:p w14:paraId="07C2EB7C" w14:textId="77777777" w:rsidR="00AA34A4" w:rsidRDefault="00AA34A4" w:rsidP="00AA34A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Representation of a Brazilian manufacturer in litigation arising from its acquisition of a Chinese company, which litigation also involved offshore arbitration proceedings</w:t>
      </w:r>
    </w:p>
    <w:p w14:paraId="004DBCB3" w14:textId="77777777" w:rsidR="00AA34A4" w:rsidRDefault="00AA34A4" w:rsidP="00AA34A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Representation of a Chinese private equity house in a merger and acquisition dispute for RMB 10 billion</w:t>
      </w:r>
    </w:p>
    <w:p w14:paraId="21ADA114" w14:textId="77777777" w:rsidR="00AA34A4" w:rsidRDefault="00AA34A4" w:rsidP="00AA34A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Representation of a European bank in litigation for RMB 200 million in respect of a cross-border financing arrangement and collateral management agreement</w:t>
      </w:r>
    </w:p>
    <w:p w14:paraId="261AD25E" w14:textId="77777777" w:rsidR="00AA34A4" w:rsidRDefault="00AA34A4" w:rsidP="00AA34A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Representation of a Korean multinational corporation in respect of a shareholder derivative litigation against its Chinese joint venture partner, which proceeding was handled in parallel with arbitration proceedings in Singapore</w:t>
      </w:r>
    </w:p>
    <w:p w14:paraId="03D3285D" w14:textId="77777777" w:rsidR="00AA34A4" w:rsidRDefault="00AA34A4" w:rsidP="00AA34A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Representation of a global energy company in a shareholder dispute with its Chinese joint venture partner, involving derivative litigation in China and foreign arbitration</w:t>
      </w:r>
    </w:p>
    <w:p w14:paraId="652C63BB" w14:textId="77777777" w:rsidR="00AA34A4" w:rsidRDefault="00AA34A4" w:rsidP="00AA34A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Representation of a U.S. based manufacturer in a series of environment pollution disputes in China involving over 50 claimants</w:t>
      </w:r>
    </w:p>
    <w:p w14:paraId="41C2964C" w14:textId="77777777" w:rsidR="00AA34A4" w:rsidRDefault="00AA34A4" w:rsidP="00AA34A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Representation of a Germany real estate project management company in a contract dispute involving multiple and competing CIETAC arbitration proceedings</w:t>
      </w:r>
    </w:p>
    <w:p w14:paraId="251A7759" w14:textId="77777777" w:rsidR="00AA34A4" w:rsidRDefault="00AA34A4" w:rsidP="00AA34A4">
      <w:pPr>
        <w:pStyle w:val="af5"/>
        <w:spacing w:before="12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Restructuring and Insolvency</w:t>
      </w:r>
    </w:p>
    <w:p w14:paraId="36DAB0B1" w14:textId="77777777" w:rsidR="00AA34A4" w:rsidRDefault="00AA34A4" w:rsidP="00AA34A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Acting as administrator and joint administrators appointed by Chinese courts in a number of large and complicated bankruptcy reorganization and liquidation proceedings</w:t>
      </w:r>
    </w:p>
    <w:p w14:paraId="0E1A123C" w14:textId="77777777" w:rsidR="00AA34A4" w:rsidRDefault="00AA34A4" w:rsidP="00AA34A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Representation of various ad hoc committees of holders of USD bonds issued by a China-based issuer in relation to bond defaults and debt restructuring</w:t>
      </w:r>
    </w:p>
    <w:p w14:paraId="28AF791C" w14:textId="77777777" w:rsidR="00AA34A4" w:rsidRDefault="00AA34A4" w:rsidP="00AA34A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Representation of several internationally renowned special opportunity funds in their acquisition of distressed assets and investment in debt restructuring in China</w:t>
      </w:r>
    </w:p>
    <w:p w14:paraId="52CC78B6" w14:textId="77777777" w:rsidR="00AA34A4" w:rsidRDefault="00AA34A4" w:rsidP="00AA34A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Representation of various foreign banks in relation to the cross-border insolvency and restructuring of China-based debtors and guarantors</w:t>
      </w:r>
    </w:p>
    <w:p w14:paraId="364E6AD2" w14:textId="77777777" w:rsidR="00AA34A4" w:rsidRDefault="00AA34A4" w:rsidP="00AA34A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Representation of a number of U.S. companies under or about to enter Chapter 11 proceedings in respect to the restructuring of their Chinese operation</w:t>
      </w:r>
    </w:p>
    <w:p w14:paraId="6D1B26BA" w14:textId="77777777" w:rsidR="00AA34A4" w:rsidRDefault="00AA34A4" w:rsidP="00AA34A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Representation of an European steel manufacturer in restructuring its Chinese business</w:t>
      </w:r>
    </w:p>
    <w:p w14:paraId="5DB08306" w14:textId="77777777" w:rsidR="00AA34A4" w:rsidRDefault="00AA34A4" w:rsidP="00AA34A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Representation of a U.S. retail company in restructuring its e-commerce business in China</w:t>
      </w:r>
    </w:p>
    <w:p w14:paraId="1800D0A4" w14:textId="77777777" w:rsidR="00AA34A4" w:rsidRDefault="00AA34A4" w:rsidP="00AA34A4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Representation of a U.S. cold storage operator in restructuring its Chinese business</w:t>
      </w:r>
    </w:p>
    <w:p w14:paraId="3691E137" w14:textId="77777777" w:rsidR="00AA34A4" w:rsidRDefault="00AA34A4" w:rsidP="00AA34A4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Representation of foreign liquidators and provisional liquidators in respect of taking over control of Chinese subsidiaries and enforcement actions in China</w:t>
      </w:r>
    </w:p>
    <w:p w14:paraId="72423528" w14:textId="77777777" w:rsidR="00AA34A4" w:rsidRDefault="00AA34A4" w:rsidP="00AA34A4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Representation of multiple creditors in the bankruptcy reorganization of a distressed Chinese ship builder, involving multiple litigations, enforcement actions as well as bankruptcy proceedings</w:t>
      </w:r>
    </w:p>
    <w:p w14:paraId="59450580" w14:textId="77777777" w:rsidR="00AA34A4" w:rsidRDefault="00AA34A4" w:rsidP="00AA34A4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Representation of a U.S. investment bank on its exercise of shareholder</w:t>
      </w:r>
      <w:r w:rsidRPr="00AA34A4">
        <w:rPr>
          <w:rFonts w:ascii="等线" w:eastAsia="等线" w:hAnsi="Times New Roman"/>
          <w:color w:val="000000"/>
        </w:rPr>
        <w:t>’</w:t>
      </w:r>
      <w:r w:rsidRPr="00AA34A4">
        <w:rPr>
          <w:rFonts w:ascii="等线" w:eastAsia="等线" w:hAnsi="Times New Roman"/>
          <w:color w:val="000000"/>
        </w:rPr>
        <w:t>s right-of-first-refusal in relation to the disposal of distressed assets, involving overlapping bankruptcy issues and regulatory issues of securities law and foreign exchange regulation; and</w:t>
      </w:r>
    </w:p>
    <w:p w14:paraId="25349DE0" w14:textId="77777777" w:rsidR="00AA34A4" w:rsidRDefault="00AA34A4" w:rsidP="00AA34A4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Representation of a U.S. healthcare company in compulsory liquidation of its Chinese joint ventures in the context of shareholder deadlock with its Chinese joint venture partner</w:t>
      </w:r>
    </w:p>
    <w:p w14:paraId="10A739DB" w14:textId="77777777" w:rsidR="00AA34A4" w:rsidRDefault="00AA34A4" w:rsidP="00AA34A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A34A4">
        <w:rPr>
          <w:rFonts w:ascii="等线" w:eastAsia="等线" w:hAnsi="等线"/>
          <w:b/>
          <w:sz w:val="24"/>
        </w:rPr>
        <w:t>Education</w:t>
      </w:r>
    </w:p>
    <w:p w14:paraId="3A309162" w14:textId="77777777" w:rsidR="00AA34A4" w:rsidRDefault="00AA34A4" w:rsidP="00AA34A4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Fudan University School of Law, LL.B.</w:t>
      </w:r>
    </w:p>
    <w:p w14:paraId="4A8711B1" w14:textId="77777777" w:rsidR="00AA34A4" w:rsidRDefault="00AA34A4" w:rsidP="00AA34A4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Columbia University Law School, LL.M, Harlan Fiske Stone Scholar</w:t>
      </w:r>
    </w:p>
    <w:p w14:paraId="121EB22F" w14:textId="77777777" w:rsidR="00AA34A4" w:rsidRDefault="00AA34A4" w:rsidP="00AA34A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A34A4">
        <w:rPr>
          <w:rFonts w:ascii="等线" w:eastAsia="等线" w:hAnsi="等线"/>
          <w:b/>
          <w:sz w:val="24"/>
        </w:rPr>
        <w:t>Professional Qualification</w:t>
      </w:r>
    </w:p>
    <w:p w14:paraId="53D7D4F6" w14:textId="77777777" w:rsidR="00AA34A4" w:rsidRDefault="00AA34A4" w:rsidP="00AA34A4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Admitted to practice in the PRC</w:t>
      </w:r>
    </w:p>
    <w:p w14:paraId="5469A2BD" w14:textId="77777777" w:rsidR="00AA34A4" w:rsidRDefault="00AA34A4" w:rsidP="00AA34A4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Admitted to practice in New York</w:t>
      </w:r>
    </w:p>
    <w:p w14:paraId="49D630D6" w14:textId="77777777" w:rsidR="00AA34A4" w:rsidRDefault="00AA34A4" w:rsidP="00AA34A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A34A4">
        <w:rPr>
          <w:rFonts w:ascii="等线" w:eastAsia="等线" w:hAnsi="等线"/>
          <w:b/>
          <w:sz w:val="24"/>
        </w:rPr>
        <w:t>Professional Background</w:t>
      </w:r>
    </w:p>
    <w:p w14:paraId="29104552" w14:textId="77777777" w:rsidR="00AA34A4" w:rsidRDefault="00AA34A4" w:rsidP="00AA34A4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Lingqi joined Fangda Partners in 2012 after working at another renowned Chinese firm.</w:t>
      </w:r>
    </w:p>
    <w:p w14:paraId="23985ACB" w14:textId="77777777" w:rsidR="00AA34A4" w:rsidRDefault="00AA34A4" w:rsidP="00AA34A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A34A4">
        <w:rPr>
          <w:rFonts w:ascii="等线" w:eastAsia="等线" w:hAnsi="等线"/>
          <w:b/>
          <w:sz w:val="24"/>
        </w:rPr>
        <w:t>OTHER INFORMATION</w:t>
      </w:r>
    </w:p>
    <w:p w14:paraId="331ABA22" w14:textId="77777777" w:rsidR="00AA34A4" w:rsidRDefault="00AA34A4" w:rsidP="00AA34A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A34A4">
        <w:rPr>
          <w:rFonts w:ascii="等线" w:eastAsia="等线" w:hAnsi="等线"/>
          <w:b/>
          <w:sz w:val="24"/>
        </w:rPr>
        <w:t>Speeches</w:t>
      </w:r>
    </w:p>
    <w:p w14:paraId="5A5FB7D9" w14:textId="77777777" w:rsidR="00AA34A4" w:rsidRDefault="00AA34A4" w:rsidP="00AA34A4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Panelist, The First Xiamen Cross-Border Insolvency Colloquium, hosted by Xiamen Bankruptcy Court, July 2021 </w:t>
      </w:r>
    </w:p>
    <w:p w14:paraId="234B93FC" w14:textId="77777777" w:rsidR="00AA34A4" w:rsidRDefault="00AA34A4" w:rsidP="00AA34A4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Panelist, Symposium on the Judicial Assistance Regime on Insolvency between Mainland China and Hong Kong SAR, hosted by Shanghai Bankruptcy Court, July 2021 </w:t>
      </w:r>
    </w:p>
    <w:p w14:paraId="34B4E214" w14:textId="77777777" w:rsidR="00AA34A4" w:rsidRDefault="00AA34A4" w:rsidP="00AA34A4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Panelist, Forum on Cross-boundary Insolvency Cooperation between the Mainland China and Hong Kong SAR, hosted by Shenzhen Bankruptcy Court, May 2021 </w:t>
      </w:r>
    </w:p>
    <w:p w14:paraId="37E05FD9" w14:textId="77777777" w:rsidR="00AA34A4" w:rsidRDefault="00AA34A4" w:rsidP="00AA34A4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Speaker, </w:t>
      </w:r>
      <w:r w:rsidRPr="00AA34A4">
        <w:rPr>
          <w:rFonts w:ascii="等线" w:eastAsia="等线" w:hAnsi="Times New Roman"/>
          <w:color w:val="000000"/>
        </w:rPr>
        <w:t>“</w:t>
      </w:r>
      <w:r w:rsidRPr="00AA34A4">
        <w:rPr>
          <w:rFonts w:ascii="等线" w:eastAsia="等线" w:hAnsi="Times New Roman"/>
          <w:color w:val="000000"/>
        </w:rPr>
        <w:t>Restructuring PRC Companies</w:t>
      </w:r>
      <w:r w:rsidRPr="00AA34A4">
        <w:rPr>
          <w:rFonts w:ascii="等线" w:eastAsia="等线" w:hAnsi="Times New Roman"/>
          <w:color w:val="000000"/>
        </w:rPr>
        <w:t>”</w:t>
      </w:r>
      <w:r w:rsidRPr="00AA34A4">
        <w:rPr>
          <w:rFonts w:ascii="等线" w:eastAsia="等线" w:hAnsi="Times New Roman"/>
          <w:color w:val="000000"/>
        </w:rPr>
        <w:t xml:space="preserve">, lectures and webinars hosted by various investment banks, private equity funds, and specialized publishers in the restructuring sector from 2019 through 2021 </w:t>
      </w:r>
    </w:p>
    <w:p w14:paraId="5F43CB0E" w14:textId="77777777" w:rsidR="00AA34A4" w:rsidRDefault="00AA34A4" w:rsidP="00AA34A4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Panelist, </w:t>
      </w:r>
      <w:r w:rsidRPr="00AA34A4">
        <w:rPr>
          <w:rFonts w:ascii="等线" w:eastAsia="等线" w:hAnsi="Times New Roman"/>
          <w:color w:val="000000"/>
        </w:rPr>
        <w:t>“</w:t>
      </w:r>
      <w:r w:rsidRPr="00AA34A4">
        <w:rPr>
          <w:rFonts w:ascii="等线" w:eastAsia="等线" w:hAnsi="Times New Roman"/>
          <w:color w:val="000000"/>
        </w:rPr>
        <w:t>Directors</w:t>
      </w:r>
      <w:r w:rsidRPr="00AA34A4">
        <w:rPr>
          <w:rFonts w:ascii="等线" w:eastAsia="等线" w:hAnsi="Times New Roman"/>
          <w:color w:val="000000"/>
        </w:rPr>
        <w:t>’</w:t>
      </w:r>
      <w:r w:rsidRPr="00AA34A4">
        <w:rPr>
          <w:rFonts w:ascii="等线" w:eastAsia="等线" w:hAnsi="Times New Roman"/>
          <w:color w:val="000000"/>
        </w:rPr>
        <w:t xml:space="preserve"> Duties and Liabilities</w:t>
      </w:r>
      <w:r w:rsidRPr="00AA34A4">
        <w:rPr>
          <w:rFonts w:ascii="等线" w:eastAsia="等线" w:hAnsi="Times New Roman"/>
          <w:color w:val="000000"/>
        </w:rPr>
        <w:t>”</w:t>
      </w:r>
      <w:r w:rsidRPr="00AA34A4">
        <w:rPr>
          <w:rFonts w:ascii="等线" w:eastAsia="等线" w:hAnsi="Times New Roman"/>
          <w:color w:val="000000"/>
        </w:rPr>
        <w:t xml:space="preserve">, INSOL Beijing and Shanghai Seminars, October 2020 </w:t>
      </w:r>
    </w:p>
    <w:p w14:paraId="4E58483D" w14:textId="77777777" w:rsidR="00AA34A4" w:rsidRDefault="00AA34A4" w:rsidP="00AA34A4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Speaker, </w:t>
      </w:r>
      <w:r w:rsidRPr="00AA34A4">
        <w:rPr>
          <w:rFonts w:ascii="等线" w:eastAsia="等线" w:hAnsi="Times New Roman"/>
          <w:color w:val="000000"/>
        </w:rPr>
        <w:t>“</w:t>
      </w:r>
      <w:r w:rsidRPr="00AA34A4">
        <w:rPr>
          <w:rFonts w:ascii="等线" w:eastAsia="等线" w:hAnsi="Times New Roman"/>
          <w:color w:val="000000"/>
        </w:rPr>
        <w:t>Fundamental Issues of Cross-border Insolvency Cooperation</w:t>
      </w:r>
      <w:r w:rsidRPr="00AA34A4">
        <w:rPr>
          <w:rFonts w:ascii="等线" w:eastAsia="等线" w:hAnsi="Times New Roman"/>
          <w:color w:val="000000"/>
        </w:rPr>
        <w:t>”</w:t>
      </w:r>
      <w:r w:rsidRPr="00AA34A4">
        <w:rPr>
          <w:rFonts w:ascii="等线" w:eastAsia="等线" w:hAnsi="Times New Roman"/>
          <w:color w:val="000000"/>
        </w:rPr>
        <w:t xml:space="preserve">, China Bankruptcy Law Symposium, Special Session on Cross-border Insolvency and Optimization of Doing Business, Suzhou, September 2019 </w:t>
      </w:r>
    </w:p>
    <w:p w14:paraId="5CCE3990" w14:textId="77777777" w:rsidR="00AA34A4" w:rsidRDefault="00AA34A4" w:rsidP="00AA34A4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Panelist, </w:t>
      </w:r>
      <w:r w:rsidRPr="00AA34A4">
        <w:rPr>
          <w:rFonts w:ascii="等线" w:eastAsia="等线" w:hAnsi="Times New Roman"/>
          <w:color w:val="000000"/>
        </w:rPr>
        <w:t>“</w:t>
      </w:r>
      <w:r w:rsidRPr="00AA34A4">
        <w:rPr>
          <w:rFonts w:ascii="等线" w:eastAsia="等线" w:hAnsi="Times New Roman"/>
          <w:color w:val="000000"/>
        </w:rPr>
        <w:t>Chinese Insolvency Regime and Cross-border Insolvency</w:t>
      </w:r>
      <w:r w:rsidRPr="00AA34A4">
        <w:rPr>
          <w:rFonts w:ascii="等线" w:eastAsia="等线" w:hAnsi="Times New Roman"/>
          <w:color w:val="000000"/>
        </w:rPr>
        <w:t>”</w:t>
      </w:r>
      <w:r w:rsidRPr="00AA34A4">
        <w:rPr>
          <w:rFonts w:ascii="等线" w:eastAsia="等线" w:hAnsi="Times New Roman"/>
          <w:color w:val="000000"/>
        </w:rPr>
        <w:t xml:space="preserve"> GRR Live 2 HK, Hong Kong, November 2018 </w:t>
      </w:r>
    </w:p>
    <w:p w14:paraId="7623C4C0" w14:textId="77777777" w:rsidR="00AA34A4" w:rsidRDefault="00AA34A4" w:rsidP="00AA34A4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Panelist, </w:t>
      </w:r>
      <w:r w:rsidRPr="00AA34A4">
        <w:rPr>
          <w:rFonts w:ascii="等线" w:eastAsia="等线" w:hAnsi="Times New Roman"/>
          <w:color w:val="000000"/>
        </w:rPr>
        <w:t>“</w:t>
      </w:r>
      <w:r w:rsidRPr="00AA34A4">
        <w:rPr>
          <w:rFonts w:ascii="等线" w:eastAsia="等线" w:hAnsi="Times New Roman"/>
          <w:color w:val="000000"/>
        </w:rPr>
        <w:t>Out-of-court Restructuring</w:t>
      </w:r>
      <w:r w:rsidRPr="00AA34A4">
        <w:rPr>
          <w:rFonts w:ascii="等线" w:eastAsia="等线" w:hAnsi="Times New Roman"/>
          <w:color w:val="000000"/>
        </w:rPr>
        <w:t>”</w:t>
      </w:r>
      <w:r w:rsidRPr="00AA34A4">
        <w:rPr>
          <w:rFonts w:ascii="等线" w:eastAsia="等线" w:hAnsi="Times New Roman"/>
          <w:color w:val="000000"/>
        </w:rPr>
        <w:t xml:space="preserve">, The Eight East-Asia Insolvency and Restructuring Symposium held by China Banking Law Society, September 2016 </w:t>
      </w:r>
    </w:p>
    <w:p w14:paraId="7FE3BD2E" w14:textId="77777777" w:rsidR="00AA34A4" w:rsidRDefault="00AA34A4" w:rsidP="00AA34A4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Panelist, </w:t>
      </w:r>
      <w:r w:rsidRPr="00AA34A4">
        <w:rPr>
          <w:rFonts w:ascii="等线" w:eastAsia="等线" w:hAnsi="Times New Roman"/>
          <w:color w:val="000000"/>
        </w:rPr>
        <w:t>“</w:t>
      </w:r>
      <w:r w:rsidRPr="00AA34A4">
        <w:rPr>
          <w:rFonts w:ascii="等线" w:eastAsia="等线" w:hAnsi="Times New Roman"/>
          <w:color w:val="000000"/>
        </w:rPr>
        <w:t>Effective Dispute Resolution for BRI Investments</w:t>
      </w:r>
      <w:r w:rsidRPr="00AA34A4">
        <w:rPr>
          <w:rFonts w:ascii="等线" w:eastAsia="等线" w:hAnsi="Times New Roman"/>
          <w:color w:val="000000"/>
        </w:rPr>
        <w:t>”</w:t>
      </w:r>
      <w:r w:rsidRPr="00AA34A4">
        <w:rPr>
          <w:rFonts w:ascii="等线" w:eastAsia="等线" w:hAnsi="Times New Roman"/>
          <w:color w:val="000000"/>
        </w:rPr>
        <w:t xml:space="preserve">, SIAC-SHIAC Conference, Shanghai, September 2019 </w:t>
      </w:r>
    </w:p>
    <w:p w14:paraId="6EC5961D" w14:textId="77777777" w:rsidR="00AA34A4" w:rsidRDefault="00AA34A4" w:rsidP="00AA34A4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Speaker, </w:t>
      </w:r>
      <w:r w:rsidRPr="00AA34A4">
        <w:rPr>
          <w:rFonts w:ascii="等线" w:eastAsia="等线" w:hAnsi="Times New Roman"/>
          <w:color w:val="000000"/>
        </w:rPr>
        <w:t>“</w:t>
      </w:r>
      <w:r w:rsidRPr="00AA34A4">
        <w:rPr>
          <w:rFonts w:ascii="等线" w:eastAsia="等线" w:hAnsi="Times New Roman"/>
          <w:color w:val="000000"/>
        </w:rPr>
        <w:t>Internal Disputes of Private Equity Funds and Cross-border Parallel Proceedings</w:t>
      </w:r>
      <w:r w:rsidRPr="00AA34A4">
        <w:rPr>
          <w:rFonts w:ascii="等线" w:eastAsia="等线" w:hAnsi="Times New Roman"/>
          <w:color w:val="000000"/>
        </w:rPr>
        <w:t>”</w:t>
      </w:r>
      <w:r w:rsidRPr="00AA34A4">
        <w:rPr>
          <w:rFonts w:ascii="等线" w:eastAsia="等线" w:hAnsi="Times New Roman"/>
          <w:color w:val="000000"/>
        </w:rPr>
        <w:t xml:space="preserve">, SHIAC seminar on </w:t>
      </w:r>
      <w:r w:rsidRPr="00AA34A4">
        <w:rPr>
          <w:rFonts w:ascii="等线" w:eastAsia="等线" w:hAnsi="Times New Roman"/>
          <w:color w:val="000000"/>
        </w:rPr>
        <w:t>“</w:t>
      </w:r>
      <w:r w:rsidRPr="00AA34A4">
        <w:rPr>
          <w:rFonts w:ascii="等线" w:eastAsia="等线" w:hAnsi="Times New Roman"/>
          <w:color w:val="000000"/>
        </w:rPr>
        <w:t>Cross-border Dispute Resolution of Private Equity Funds</w:t>
      </w:r>
      <w:r w:rsidRPr="00AA34A4">
        <w:rPr>
          <w:rFonts w:ascii="等线" w:eastAsia="等线" w:hAnsi="Times New Roman"/>
          <w:color w:val="000000"/>
        </w:rPr>
        <w:t>”</w:t>
      </w:r>
      <w:r w:rsidRPr="00AA34A4">
        <w:rPr>
          <w:rFonts w:ascii="等线" w:eastAsia="等线" w:hAnsi="Times New Roman"/>
          <w:color w:val="000000"/>
        </w:rPr>
        <w:t xml:space="preserve">, November 2018 </w:t>
      </w:r>
    </w:p>
    <w:p w14:paraId="131F797A" w14:textId="77777777" w:rsidR="00AA34A4" w:rsidRDefault="00AA34A4" w:rsidP="00AA34A4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Speaker, SHIAC seminar on </w:t>
      </w:r>
      <w:r w:rsidRPr="00AA34A4">
        <w:rPr>
          <w:rFonts w:ascii="等线" w:eastAsia="等线" w:hAnsi="Times New Roman"/>
          <w:color w:val="000000"/>
        </w:rPr>
        <w:t>“</w:t>
      </w:r>
      <w:r w:rsidRPr="00AA34A4">
        <w:rPr>
          <w:rFonts w:ascii="等线" w:eastAsia="等线" w:hAnsi="Times New Roman"/>
          <w:color w:val="000000"/>
        </w:rPr>
        <w:t>Prospect and Application of UNCITRAL Rules by Chinese Arbitration Institutions</w:t>
      </w:r>
      <w:r w:rsidRPr="00AA34A4">
        <w:rPr>
          <w:rFonts w:ascii="等线" w:eastAsia="等线" w:hAnsi="Times New Roman"/>
          <w:color w:val="000000"/>
        </w:rPr>
        <w:t>”</w:t>
      </w:r>
      <w:r w:rsidRPr="00AA34A4">
        <w:rPr>
          <w:rFonts w:ascii="等线" w:eastAsia="等线" w:hAnsi="Times New Roman"/>
          <w:color w:val="000000"/>
        </w:rPr>
        <w:t xml:space="preserve">, March 2017 </w:t>
      </w:r>
    </w:p>
    <w:p w14:paraId="798E85D4" w14:textId="77777777" w:rsidR="00AA34A4" w:rsidRDefault="00AA34A4" w:rsidP="00AA34A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A34A4">
        <w:rPr>
          <w:rFonts w:ascii="等线" w:eastAsia="等线" w:hAnsi="等线"/>
          <w:b/>
          <w:sz w:val="24"/>
        </w:rPr>
        <w:t>Publications</w:t>
      </w:r>
    </w:p>
    <w:p w14:paraId="51AC6D0C" w14:textId="77777777" w:rsidR="00AA34A4" w:rsidRDefault="00AA34A4" w:rsidP="00AA34A4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Journals and Books   Five ways to fail in your PRC interim relief application, Hong Kong Lawyer (2022) </w:t>
      </w:r>
    </w:p>
    <w:p w14:paraId="4694CD48" w14:textId="77777777" w:rsidR="00AA34A4" w:rsidRDefault="00AA34A4" w:rsidP="00AA34A4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IBA Toolkit on Insolvency and Arbitration, China Chapter (2021) </w:t>
      </w:r>
    </w:p>
    <w:p w14:paraId="3330957B" w14:textId="77777777" w:rsidR="00AA34A4" w:rsidRDefault="00AA34A4" w:rsidP="00AA34A4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Asia-Pacific Restructuring Review 2021, China Chapter, Global Restructuring Review </w:t>
      </w:r>
    </w:p>
    <w:p w14:paraId="33D1A598" w14:textId="77777777" w:rsidR="00AA34A4" w:rsidRDefault="00AA34A4" w:rsidP="00AA34A4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Chambers Global Practice Guides </w:t>
      </w:r>
      <w:r w:rsidRPr="00AA34A4">
        <w:rPr>
          <w:rFonts w:ascii="等线" w:eastAsia="等线" w:hAnsi="Times New Roman"/>
          <w:color w:val="000000"/>
        </w:rPr>
        <w:t>–</w:t>
      </w:r>
      <w:r w:rsidRPr="00AA34A4">
        <w:rPr>
          <w:rFonts w:ascii="等线" w:eastAsia="等线" w:hAnsi="Times New Roman"/>
          <w:color w:val="000000"/>
        </w:rPr>
        <w:t xml:space="preserve"> Insolvency, China Chapter (2020) </w:t>
      </w:r>
    </w:p>
    <w:p w14:paraId="0C4A85F2" w14:textId="77777777" w:rsidR="00AA34A4" w:rsidRDefault="00AA34A4" w:rsidP="00AA34A4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China</w:t>
      </w:r>
      <w:r w:rsidRPr="00AA34A4">
        <w:rPr>
          <w:rFonts w:ascii="等线" w:eastAsia="等线" w:hAnsi="Times New Roman"/>
          <w:color w:val="000000"/>
        </w:rPr>
        <w:t>’</w:t>
      </w:r>
      <w:r w:rsidRPr="00AA34A4">
        <w:rPr>
          <w:rFonts w:ascii="等线" w:eastAsia="等线" w:hAnsi="Times New Roman"/>
          <w:color w:val="000000"/>
        </w:rPr>
        <w:t xml:space="preserve">s Recognition of Foreign Insolvency Proceedings and VIE Structures, International Insolvency &amp; Restructuring Report (2020) </w:t>
      </w:r>
    </w:p>
    <w:p w14:paraId="71D56375" w14:textId="77777777" w:rsidR="00AA34A4" w:rsidRDefault="00AA34A4" w:rsidP="00AA34A4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Insolvency and Corporate Reorganization Report 2016, International Financial Law Review (2016) </w:t>
      </w:r>
    </w:p>
    <w:p w14:paraId="1F206290" w14:textId="77777777" w:rsidR="00AA34A4" w:rsidRDefault="00AA34A4" w:rsidP="00AA34A4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Enforcement of Judgments and Arbitral Awards: A Global Guide from Practical Law 2nd Edition (China Chapter), Thomson Reuters (2015) </w:t>
      </w:r>
    </w:p>
    <w:p w14:paraId="4E1F6C4D" w14:textId="77777777" w:rsidR="00AA34A4" w:rsidRDefault="00AA34A4" w:rsidP="00AA34A4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Insolvency and Corporate Reorganization Report 2015, International Financial Law Review (2015) </w:t>
      </w:r>
    </w:p>
    <w:p w14:paraId="2B4835B3" w14:textId="77777777" w:rsidR="00AA34A4" w:rsidRDefault="00AA34A4" w:rsidP="00AA34A4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Papers and Research Projects   Judicial Practice of the Bankruptcy of Financial Institutions </w:t>
      </w:r>
      <w:r w:rsidRPr="00AA34A4">
        <w:rPr>
          <w:rFonts w:ascii="等线" w:eastAsia="等线" w:hAnsi="Times New Roman"/>
          <w:color w:val="000000"/>
        </w:rPr>
        <w:t>–</w:t>
      </w:r>
      <w:r w:rsidRPr="00AA34A4">
        <w:rPr>
          <w:rFonts w:ascii="等线" w:eastAsia="等线" w:hAnsi="Times New Roman"/>
          <w:color w:val="000000"/>
        </w:rPr>
        <w:t xml:space="preserve"> A Comparative Law Perspective, research project commissioned by Shanghai Financial Court (2020) </w:t>
      </w:r>
    </w:p>
    <w:p w14:paraId="2C1D6DB0" w14:textId="77777777" w:rsidR="00AA34A4" w:rsidRDefault="00AA34A4" w:rsidP="00AA34A4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>Assistance in Cross-border Insolvency of Group Companies, research project commissioned by Supreme People</w:t>
      </w:r>
      <w:r w:rsidRPr="00AA34A4">
        <w:rPr>
          <w:rFonts w:ascii="等线" w:eastAsia="等线" w:hAnsi="Times New Roman"/>
          <w:color w:val="000000"/>
        </w:rPr>
        <w:t>’</w:t>
      </w:r>
      <w:r w:rsidRPr="00AA34A4">
        <w:rPr>
          <w:rFonts w:ascii="等线" w:eastAsia="等线" w:hAnsi="Times New Roman"/>
          <w:color w:val="000000"/>
        </w:rPr>
        <w:t xml:space="preserve">s Court (2019) </w:t>
      </w:r>
    </w:p>
    <w:p w14:paraId="1235EB5F" w14:textId="77777777" w:rsidR="00AA34A4" w:rsidRDefault="00AA34A4" w:rsidP="00AA34A4">
      <w:pPr>
        <w:pStyle w:val="af5"/>
        <w:numPr>
          <w:ilvl w:val="0"/>
          <w:numId w:val="5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A Review of the </w:t>
      </w:r>
      <w:r w:rsidRPr="00AA34A4">
        <w:rPr>
          <w:rFonts w:ascii="等线" w:eastAsia="等线" w:hAnsi="Times New Roman"/>
          <w:color w:val="000000"/>
        </w:rPr>
        <w:t>“</w:t>
      </w:r>
      <w:r w:rsidRPr="00AA34A4">
        <w:rPr>
          <w:rFonts w:ascii="等线" w:eastAsia="等线" w:hAnsi="Times New Roman"/>
          <w:color w:val="000000"/>
        </w:rPr>
        <w:t>Thumb Case</w:t>
      </w:r>
      <w:r w:rsidRPr="00AA34A4">
        <w:rPr>
          <w:rFonts w:ascii="等线" w:eastAsia="等线" w:hAnsi="Times New Roman"/>
          <w:color w:val="000000"/>
        </w:rPr>
        <w:t>”</w:t>
      </w:r>
      <w:r w:rsidRPr="00AA34A4">
        <w:rPr>
          <w:rFonts w:ascii="等线" w:eastAsia="等线" w:hAnsi="Times New Roman"/>
          <w:color w:val="000000"/>
        </w:rPr>
        <w:t xml:space="preserve"> from the Perspective of Cross-border Bankruptcy, Research Paper for the Fourth China Bankruptcy Law Practice Forum (2015) </w:t>
      </w:r>
    </w:p>
    <w:p w14:paraId="5A0FC329" w14:textId="77777777" w:rsidR="00AA34A4" w:rsidRDefault="00AA34A4" w:rsidP="00AA34A4">
      <w:pPr>
        <w:pStyle w:val="af5"/>
        <w:numPr>
          <w:ilvl w:val="0"/>
          <w:numId w:val="5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The Latest Development of Cross-border Insolvency, The Second Summit of Market-Oriented Bankruptcy (2018) </w:t>
      </w:r>
    </w:p>
    <w:p w14:paraId="7C37C831" w14:textId="77777777" w:rsidR="00AA34A4" w:rsidRDefault="00AA34A4" w:rsidP="00AA34A4">
      <w:pPr>
        <w:pStyle w:val="af5"/>
        <w:numPr>
          <w:ilvl w:val="0"/>
          <w:numId w:val="5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Several Fundamental Issues of Cooperation in Cross-border Insolvency, The Tenth China Bankruptcy Law Forum (2019) </w:t>
      </w:r>
    </w:p>
    <w:p w14:paraId="5882601E" w14:textId="77777777" w:rsidR="00AA34A4" w:rsidRDefault="00AA34A4" w:rsidP="00AA34A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A34A4">
        <w:rPr>
          <w:rFonts w:ascii="等线" w:eastAsia="等线" w:hAnsi="等线"/>
          <w:b/>
          <w:sz w:val="24"/>
        </w:rPr>
        <w:t>Professional Affiliations</w:t>
      </w:r>
    </w:p>
    <w:p w14:paraId="3F48EF1C" w14:textId="77777777" w:rsidR="00AA34A4" w:rsidRDefault="00AA34A4" w:rsidP="00AA34A4">
      <w:pPr>
        <w:pStyle w:val="af5"/>
        <w:numPr>
          <w:ilvl w:val="0"/>
          <w:numId w:val="5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Member of the Asian Advisory Council of INSOL </w:t>
      </w:r>
    </w:p>
    <w:p w14:paraId="2D39A876" w14:textId="77777777" w:rsidR="00AA34A4" w:rsidRDefault="00AA34A4" w:rsidP="00AA34A4">
      <w:pPr>
        <w:pStyle w:val="af5"/>
        <w:numPr>
          <w:ilvl w:val="0"/>
          <w:numId w:val="5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Member of the Foreign Affairs Committee of Shanghai Bar Association </w:t>
      </w:r>
    </w:p>
    <w:p w14:paraId="5567FC3C" w14:textId="64135718" w:rsidR="00686369" w:rsidRPr="00AA34A4" w:rsidRDefault="00AA34A4" w:rsidP="00AA34A4">
      <w:pPr>
        <w:pStyle w:val="af5"/>
        <w:numPr>
          <w:ilvl w:val="0"/>
          <w:numId w:val="5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4A4">
        <w:rPr>
          <w:rFonts w:ascii="等线" w:eastAsia="等线" w:hAnsi="Times New Roman"/>
          <w:color w:val="000000"/>
        </w:rPr>
        <w:t xml:space="preserve">Arbitrator of Shanghai International Arbitration Centre (SHIAC) </w:t>
      </w:r>
    </w:p>
    <w:sectPr w:rsidR="00686369" w:rsidRPr="00AA34A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79DE"/>
    <w:multiLevelType w:val="singleLevel"/>
    <w:tmpl w:val="5A4A1B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9D7B0B"/>
    <w:multiLevelType w:val="singleLevel"/>
    <w:tmpl w:val="AA004F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4015C6F"/>
    <w:multiLevelType w:val="singleLevel"/>
    <w:tmpl w:val="F36E6D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68437DE"/>
    <w:multiLevelType w:val="singleLevel"/>
    <w:tmpl w:val="80CEEC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6AB7763"/>
    <w:multiLevelType w:val="singleLevel"/>
    <w:tmpl w:val="8B3639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9BB6CBC"/>
    <w:multiLevelType w:val="singleLevel"/>
    <w:tmpl w:val="733AF4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CBB0E34"/>
    <w:multiLevelType w:val="singleLevel"/>
    <w:tmpl w:val="84B0B3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50A4F73"/>
    <w:multiLevelType w:val="singleLevel"/>
    <w:tmpl w:val="631EDE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59705D0"/>
    <w:multiLevelType w:val="singleLevel"/>
    <w:tmpl w:val="D50237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A8103A1"/>
    <w:multiLevelType w:val="singleLevel"/>
    <w:tmpl w:val="8D64A2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D657265"/>
    <w:multiLevelType w:val="singleLevel"/>
    <w:tmpl w:val="AA004F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E320AA9"/>
    <w:multiLevelType w:val="singleLevel"/>
    <w:tmpl w:val="FFB0C6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EA2626E"/>
    <w:multiLevelType w:val="singleLevel"/>
    <w:tmpl w:val="18885E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20377E1"/>
    <w:multiLevelType w:val="singleLevel"/>
    <w:tmpl w:val="DD048F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2461FF2"/>
    <w:multiLevelType w:val="singleLevel"/>
    <w:tmpl w:val="43324B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2EB3A97"/>
    <w:multiLevelType w:val="singleLevel"/>
    <w:tmpl w:val="F0CC41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39F3C28"/>
    <w:multiLevelType w:val="singleLevel"/>
    <w:tmpl w:val="48846B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CEE67AC"/>
    <w:multiLevelType w:val="singleLevel"/>
    <w:tmpl w:val="1F3CB7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DBB093D"/>
    <w:multiLevelType w:val="singleLevel"/>
    <w:tmpl w:val="2E76E0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F1E5ADF"/>
    <w:multiLevelType w:val="singleLevel"/>
    <w:tmpl w:val="0DA866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0543BF9"/>
    <w:multiLevelType w:val="singleLevel"/>
    <w:tmpl w:val="8BE2E4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1386AA2"/>
    <w:multiLevelType w:val="singleLevel"/>
    <w:tmpl w:val="755E1B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34E74D3"/>
    <w:multiLevelType w:val="singleLevel"/>
    <w:tmpl w:val="23082F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3701E3B"/>
    <w:multiLevelType w:val="singleLevel"/>
    <w:tmpl w:val="3432C6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39B6DB7"/>
    <w:multiLevelType w:val="singleLevel"/>
    <w:tmpl w:val="E28EE3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4CE7884"/>
    <w:multiLevelType w:val="singleLevel"/>
    <w:tmpl w:val="878EE7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56D63F2"/>
    <w:multiLevelType w:val="singleLevel"/>
    <w:tmpl w:val="54EA0C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3672629D"/>
    <w:multiLevelType w:val="singleLevel"/>
    <w:tmpl w:val="E34425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38DC0069"/>
    <w:multiLevelType w:val="singleLevel"/>
    <w:tmpl w:val="ABFC76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39275A1F"/>
    <w:multiLevelType w:val="singleLevel"/>
    <w:tmpl w:val="1892FA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3BE45D31"/>
    <w:multiLevelType w:val="singleLevel"/>
    <w:tmpl w:val="CA1400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3D407334"/>
    <w:multiLevelType w:val="singleLevel"/>
    <w:tmpl w:val="D26876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3E4B7C84"/>
    <w:multiLevelType w:val="singleLevel"/>
    <w:tmpl w:val="826CD1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3F4029FE"/>
    <w:multiLevelType w:val="singleLevel"/>
    <w:tmpl w:val="8368D4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49D23B52"/>
    <w:multiLevelType w:val="singleLevel"/>
    <w:tmpl w:val="3F62F4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4A561A52"/>
    <w:multiLevelType w:val="singleLevel"/>
    <w:tmpl w:val="8D4C17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4EAC73D9"/>
    <w:multiLevelType w:val="singleLevel"/>
    <w:tmpl w:val="3A9277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2BD756C"/>
    <w:multiLevelType w:val="singleLevel"/>
    <w:tmpl w:val="47BEC7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52FF41B3"/>
    <w:multiLevelType w:val="singleLevel"/>
    <w:tmpl w:val="237E08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59130831"/>
    <w:multiLevelType w:val="singleLevel"/>
    <w:tmpl w:val="6FF0AD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5BA47BC5"/>
    <w:multiLevelType w:val="singleLevel"/>
    <w:tmpl w:val="3B5231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8C766AA"/>
    <w:multiLevelType w:val="singleLevel"/>
    <w:tmpl w:val="2DD25A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A6F6E04"/>
    <w:multiLevelType w:val="singleLevel"/>
    <w:tmpl w:val="6AE421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C275DDD"/>
    <w:multiLevelType w:val="singleLevel"/>
    <w:tmpl w:val="D902DF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D3C7611"/>
    <w:multiLevelType w:val="singleLevel"/>
    <w:tmpl w:val="C03084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6D8601E9"/>
    <w:multiLevelType w:val="singleLevel"/>
    <w:tmpl w:val="4D8077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6DBE5A21"/>
    <w:multiLevelType w:val="singleLevel"/>
    <w:tmpl w:val="D932E0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6E130F01"/>
    <w:multiLevelType w:val="singleLevel"/>
    <w:tmpl w:val="FFC844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6F3F0D0A"/>
    <w:multiLevelType w:val="singleLevel"/>
    <w:tmpl w:val="1DC433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6FD5073D"/>
    <w:multiLevelType w:val="singleLevel"/>
    <w:tmpl w:val="F7F899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0" w15:restartNumberingAfterBreak="0">
    <w:nsid w:val="73333010"/>
    <w:multiLevelType w:val="singleLevel"/>
    <w:tmpl w:val="902461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1" w15:restartNumberingAfterBreak="0">
    <w:nsid w:val="76A27822"/>
    <w:multiLevelType w:val="singleLevel"/>
    <w:tmpl w:val="96187E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2" w15:restartNumberingAfterBreak="0">
    <w:nsid w:val="7800787E"/>
    <w:multiLevelType w:val="singleLevel"/>
    <w:tmpl w:val="7818C9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3" w15:restartNumberingAfterBreak="0">
    <w:nsid w:val="79C1413A"/>
    <w:multiLevelType w:val="singleLevel"/>
    <w:tmpl w:val="12549C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4" w15:restartNumberingAfterBreak="0">
    <w:nsid w:val="7AB6691E"/>
    <w:multiLevelType w:val="singleLevel"/>
    <w:tmpl w:val="247874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5" w15:restartNumberingAfterBreak="0">
    <w:nsid w:val="7CFF115E"/>
    <w:multiLevelType w:val="singleLevel"/>
    <w:tmpl w:val="359ACB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8"/>
  </w:num>
  <w:num w:numId="2">
    <w:abstractNumId w:val="15"/>
  </w:num>
  <w:num w:numId="3">
    <w:abstractNumId w:val="29"/>
  </w:num>
  <w:num w:numId="4">
    <w:abstractNumId w:val="31"/>
  </w:num>
  <w:num w:numId="5">
    <w:abstractNumId w:val="40"/>
  </w:num>
  <w:num w:numId="6">
    <w:abstractNumId w:val="27"/>
  </w:num>
  <w:num w:numId="7">
    <w:abstractNumId w:val="39"/>
  </w:num>
  <w:num w:numId="8">
    <w:abstractNumId w:val="53"/>
  </w:num>
  <w:num w:numId="9">
    <w:abstractNumId w:val="28"/>
  </w:num>
  <w:num w:numId="10">
    <w:abstractNumId w:val="16"/>
  </w:num>
  <w:num w:numId="11">
    <w:abstractNumId w:val="34"/>
  </w:num>
  <w:num w:numId="12">
    <w:abstractNumId w:val="4"/>
  </w:num>
  <w:num w:numId="13">
    <w:abstractNumId w:val="37"/>
  </w:num>
  <w:num w:numId="14">
    <w:abstractNumId w:val="8"/>
  </w:num>
  <w:num w:numId="15">
    <w:abstractNumId w:val="5"/>
  </w:num>
  <w:num w:numId="16">
    <w:abstractNumId w:val="13"/>
  </w:num>
  <w:num w:numId="17">
    <w:abstractNumId w:val="26"/>
  </w:num>
  <w:num w:numId="18">
    <w:abstractNumId w:val="41"/>
  </w:num>
  <w:num w:numId="19">
    <w:abstractNumId w:val="18"/>
  </w:num>
  <w:num w:numId="20">
    <w:abstractNumId w:val="45"/>
  </w:num>
  <w:num w:numId="21">
    <w:abstractNumId w:val="49"/>
  </w:num>
  <w:num w:numId="22">
    <w:abstractNumId w:val="0"/>
  </w:num>
  <w:num w:numId="23">
    <w:abstractNumId w:val="11"/>
  </w:num>
  <w:num w:numId="24">
    <w:abstractNumId w:val="51"/>
  </w:num>
  <w:num w:numId="25">
    <w:abstractNumId w:val="32"/>
  </w:num>
  <w:num w:numId="26">
    <w:abstractNumId w:val="22"/>
  </w:num>
  <w:num w:numId="27">
    <w:abstractNumId w:val="42"/>
  </w:num>
  <w:num w:numId="28">
    <w:abstractNumId w:val="17"/>
  </w:num>
  <w:num w:numId="29">
    <w:abstractNumId w:val="23"/>
  </w:num>
  <w:num w:numId="30">
    <w:abstractNumId w:val="50"/>
  </w:num>
  <w:num w:numId="31">
    <w:abstractNumId w:val="52"/>
  </w:num>
  <w:num w:numId="32">
    <w:abstractNumId w:val="46"/>
  </w:num>
  <w:num w:numId="33">
    <w:abstractNumId w:val="43"/>
  </w:num>
  <w:num w:numId="34">
    <w:abstractNumId w:val="44"/>
  </w:num>
  <w:num w:numId="35">
    <w:abstractNumId w:val="19"/>
  </w:num>
  <w:num w:numId="36">
    <w:abstractNumId w:val="36"/>
  </w:num>
  <w:num w:numId="37">
    <w:abstractNumId w:val="20"/>
  </w:num>
  <w:num w:numId="38">
    <w:abstractNumId w:val="25"/>
  </w:num>
  <w:num w:numId="39">
    <w:abstractNumId w:val="9"/>
  </w:num>
  <w:num w:numId="40">
    <w:abstractNumId w:val="47"/>
  </w:num>
  <w:num w:numId="41">
    <w:abstractNumId w:val="33"/>
  </w:num>
  <w:num w:numId="42">
    <w:abstractNumId w:val="21"/>
  </w:num>
  <w:num w:numId="43">
    <w:abstractNumId w:val="7"/>
  </w:num>
  <w:num w:numId="44">
    <w:abstractNumId w:val="35"/>
  </w:num>
  <w:num w:numId="45">
    <w:abstractNumId w:val="55"/>
  </w:num>
  <w:num w:numId="46">
    <w:abstractNumId w:val="14"/>
  </w:num>
  <w:num w:numId="47">
    <w:abstractNumId w:val="24"/>
  </w:num>
  <w:num w:numId="48">
    <w:abstractNumId w:val="3"/>
  </w:num>
  <w:num w:numId="49">
    <w:abstractNumId w:val="54"/>
  </w:num>
  <w:num w:numId="50">
    <w:abstractNumId w:val="12"/>
  </w:num>
  <w:num w:numId="51">
    <w:abstractNumId w:val="38"/>
  </w:num>
  <w:num w:numId="52">
    <w:abstractNumId w:val="2"/>
  </w:num>
  <w:num w:numId="53">
    <w:abstractNumId w:val="30"/>
  </w:num>
  <w:num w:numId="54">
    <w:abstractNumId w:val="6"/>
  </w:num>
  <w:num w:numId="55">
    <w:abstractNumId w:val="1"/>
  </w:num>
  <w:num w:numId="56">
    <w:abstractNumId w:val="1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AA34A4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A34A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A34A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0501DDD-8EE9-4618-9953-6A1EA5443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1264</Words>
  <Characters>7211</Characters>
  <Application>Microsoft Office Word</Application>
  <DocSecurity>0</DocSecurity>
  <Lines>60</Lines>
  <Paragraphs>16</Paragraphs>
  <ScaleCrop>false</ScaleCrop>
  <Company/>
  <LinksUpToDate>false</LinksUpToDate>
  <CharactersWithSpaces>8459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2026-09-19T01:58:00Z</dcterms:created>
  <dcterms:modified xsi:type="dcterms:W3CDTF">2026-09-19T01:58:00Z</dcterms:modified>
</cp:coreProperties>
</file>