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86561A5" w:rsidR="0049405C" w:rsidRPr="00C24D79" w:rsidRDefault="00B93422" w:rsidP="00B9342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93422">
              <w:rPr>
                <w:rFonts w:ascii="等线" w:eastAsia="等线" w:hAnsi="Times New Roman"/>
                <w:b/>
                <w:color w:val="000000"/>
                <w:sz w:val="48"/>
              </w:rPr>
              <w:t>BIVIO YU</w:t>
            </w:r>
            <w:bookmarkEnd w:id="0"/>
          </w:p>
          <w:p w14:paraId="706EB16B" w14:textId="245FC7CB" w:rsidR="0049405C" w:rsidRPr="00C24D79" w:rsidRDefault="00B93422" w:rsidP="00B9342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9342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B9342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93422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98069DA" w:rsidR="0049405C" w:rsidRPr="00C24D79" w:rsidRDefault="00B93422" w:rsidP="00B9342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93422">
              <w:rPr>
                <w:rFonts w:ascii="等线" w:eastAsia="等线" w:hAnsi="Times New Roman"/>
                <w:color w:val="000000"/>
              </w:rPr>
              <w:t xml:space="preserve">+86 10 5769 4206 </w:t>
            </w:r>
            <w:bookmarkEnd w:id="3"/>
          </w:p>
          <w:p w14:paraId="4F910ACA" w14:textId="1E697F07" w:rsidR="0049405C" w:rsidRPr="00C24D79" w:rsidRDefault="00B93422" w:rsidP="00B9342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93422">
              <w:rPr>
                <w:rFonts w:ascii="等线" w:eastAsia="等线" w:hAnsi="Times New Roman"/>
                <w:color w:val="000000"/>
              </w:rPr>
              <w:t>bivio.yu@fangdalaw.com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763C164" w:rsidR="0049405C" w:rsidRPr="00C24D79" w:rsidRDefault="00B9342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8FED93E" wp14:editId="6BC5353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03AF72C" w:rsidR="009465FB" w:rsidRPr="00C24D79" w:rsidRDefault="00B9342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93422">
              <w:rPr>
                <w:rFonts w:ascii="等线" w:eastAsia="等线" w:hAnsi="Times New Roman"/>
                <w:color w:val="000000"/>
                <w:szCs w:val="21"/>
              </w:rPr>
              <w:t>MS. BIVIO YU SPECIALIZES IN ANTI-TRUST AND COMPETITION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1F2C3F2" w14:textId="77777777" w:rsidR="00B9342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BDDD4D5" w14:textId="77777777" w:rsidR="00B93422" w:rsidRDefault="00B93422" w:rsidP="00B9342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93422">
        <w:rPr>
          <w:rFonts w:ascii="等线" w:eastAsia="等线" w:hAnsi="等线"/>
          <w:b/>
          <w:sz w:val="24"/>
        </w:rPr>
        <w:t>REPRESENTATIVE MATTERS AND CASES</w:t>
      </w:r>
    </w:p>
    <w:p w14:paraId="46CFE1E6" w14:textId="77777777" w:rsidR="00B93422" w:rsidRDefault="00B93422" w:rsidP="00B93422">
      <w:pPr>
        <w:pStyle w:val="af5"/>
        <w:spacing w:before="120"/>
        <w:rPr>
          <w:rFonts w:ascii="等线" w:eastAsia="等线" w:hAnsi="Times New Roman"/>
          <w:color w:val="000000"/>
        </w:rPr>
      </w:pPr>
      <w:r w:rsidRPr="00B93422">
        <w:rPr>
          <w:rFonts w:ascii="等线" w:eastAsia="等线" w:hAnsi="Times New Roman"/>
          <w:color w:val="000000"/>
        </w:rPr>
        <w:t>PRC Merger Control</w:t>
      </w:r>
    </w:p>
    <w:p w14:paraId="7D0D0E61" w14:textId="77777777" w:rsidR="00B93422" w:rsidRDefault="00B93422" w:rsidP="00B9342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3422">
        <w:rPr>
          <w:rFonts w:ascii="等线" w:eastAsia="等线" w:hAnsi="Times New Roman"/>
          <w:color w:val="000000"/>
        </w:rPr>
        <w:t>Represented The Boeing Company on the China merger filing for its acquistion of Embraer S.A.</w:t>
      </w:r>
      <w:r w:rsidRPr="00B93422">
        <w:rPr>
          <w:rFonts w:ascii="等线" w:eastAsia="等线" w:hAnsi="Times New Roman"/>
          <w:color w:val="000000"/>
        </w:rPr>
        <w:t>’</w:t>
      </w:r>
      <w:r w:rsidRPr="00B93422">
        <w:rPr>
          <w:rFonts w:ascii="等线" w:eastAsia="等线" w:hAnsi="Times New Roman"/>
          <w:color w:val="000000"/>
        </w:rPr>
        <w:t>s commercial aviation business</w:t>
      </w:r>
    </w:p>
    <w:p w14:paraId="4ABA4ABF" w14:textId="77777777" w:rsidR="00B93422" w:rsidRDefault="00B93422" w:rsidP="00B9342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3422">
        <w:rPr>
          <w:rFonts w:ascii="等线" w:eastAsia="等线" w:hAnsi="Times New Roman"/>
          <w:color w:val="000000"/>
        </w:rPr>
        <w:t>Represented Rockwell Collins, Inc. on the China merger control filing for its acquisition by United Technologies Corporation</w:t>
      </w:r>
    </w:p>
    <w:p w14:paraId="789FBFC3" w14:textId="77777777" w:rsidR="00B93422" w:rsidRDefault="00B93422" w:rsidP="00B9342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3422">
        <w:rPr>
          <w:rFonts w:ascii="等线" w:eastAsia="等线" w:hAnsi="Times New Roman"/>
          <w:color w:val="000000"/>
        </w:rPr>
        <w:t>Advised The Walt Disney Company and 21st Century Fox, Inc. on the China merger control filing for Disney</w:t>
      </w:r>
      <w:r w:rsidRPr="00B93422">
        <w:rPr>
          <w:rFonts w:ascii="等线" w:eastAsia="等线" w:hAnsi="Times New Roman"/>
          <w:color w:val="000000"/>
        </w:rPr>
        <w:t>’</w:t>
      </w:r>
      <w:r w:rsidRPr="00B93422">
        <w:rPr>
          <w:rFonts w:ascii="等线" w:eastAsia="等线" w:hAnsi="Times New Roman"/>
          <w:color w:val="000000"/>
        </w:rPr>
        <w:t>s acquisition of Fox</w:t>
      </w:r>
    </w:p>
    <w:p w14:paraId="51C952FB" w14:textId="77777777" w:rsidR="00B93422" w:rsidRDefault="00B93422" w:rsidP="00B9342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3422">
        <w:rPr>
          <w:rFonts w:ascii="等线" w:eastAsia="等线" w:hAnsi="Times New Roman"/>
          <w:color w:val="000000"/>
        </w:rPr>
        <w:t>Advised The Boeing Company on the China merger control filing for its establishment of a joint venture with Safran S.A., a tier-1 supplier of systems and equipment in the aerospace and defense markets, for the manufacture of aircraft axillary power units</w:t>
      </w:r>
    </w:p>
    <w:p w14:paraId="2952420E" w14:textId="77777777" w:rsidR="00B93422" w:rsidRDefault="00B93422" w:rsidP="00B9342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3422">
        <w:rPr>
          <w:rFonts w:ascii="等线" w:eastAsia="等线" w:hAnsi="Times New Roman"/>
          <w:color w:val="000000"/>
        </w:rPr>
        <w:t>Advised The Boeing Company on the China merger control filing for its establishment of a joint venture with Adient, a leading automotive seating maker, for the manufacture of aircraft seating</w:t>
      </w:r>
    </w:p>
    <w:p w14:paraId="56D9BF3F" w14:textId="77777777" w:rsidR="00B93422" w:rsidRDefault="00B93422" w:rsidP="00B9342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3422">
        <w:rPr>
          <w:rFonts w:ascii="等线" w:eastAsia="等线" w:hAnsi="Times New Roman"/>
          <w:color w:val="000000"/>
        </w:rPr>
        <w:t>Advised both Thales and Gemalto on the China merger control filing for Thales</w:t>
      </w:r>
      <w:r w:rsidRPr="00B93422">
        <w:rPr>
          <w:rFonts w:ascii="等线" w:eastAsia="等线" w:hAnsi="Times New Roman"/>
          <w:color w:val="000000"/>
        </w:rPr>
        <w:t>’</w:t>
      </w:r>
      <w:r w:rsidRPr="00B93422">
        <w:rPr>
          <w:rFonts w:ascii="等线" w:eastAsia="等线" w:hAnsi="Times New Roman"/>
          <w:color w:val="000000"/>
        </w:rPr>
        <w:t xml:space="preserve">s acquisition of Gemalto </w:t>
      </w:r>
      <w:r w:rsidRPr="00B93422">
        <w:rPr>
          <w:rFonts w:ascii="等线" w:eastAsia="等线" w:hAnsi="Times New Roman"/>
          <w:color w:val="000000"/>
        </w:rPr>
        <w:t>—</w:t>
      </w:r>
      <w:r w:rsidRPr="00B93422">
        <w:rPr>
          <w:rFonts w:ascii="等线" w:eastAsia="等线" w:hAnsi="Times New Roman"/>
          <w:color w:val="000000"/>
        </w:rPr>
        <w:t xml:space="preserve"> a transaction intending to create a world leader in digital security</w:t>
      </w:r>
    </w:p>
    <w:p w14:paraId="4274474E" w14:textId="77777777" w:rsidR="00B93422" w:rsidRDefault="00B93422" w:rsidP="00B9342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3422">
        <w:rPr>
          <w:rFonts w:ascii="等线" w:eastAsia="等线" w:hAnsi="Times New Roman"/>
          <w:color w:val="000000"/>
        </w:rPr>
        <w:t>Advised The Boeing Company on the China merger control filing for its establishment of a joint venture with Chinese airframer COMAC for the provision of completions services for 737 MAX in China</w:t>
      </w:r>
    </w:p>
    <w:p w14:paraId="18AAE8BA" w14:textId="77777777" w:rsidR="00B93422" w:rsidRDefault="00B93422" w:rsidP="00B9342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3422">
        <w:rPr>
          <w:rFonts w:ascii="等线" w:eastAsia="等线" w:hAnsi="Times New Roman"/>
          <w:color w:val="000000"/>
        </w:rPr>
        <w:t xml:space="preserve">Represented Orient Overseas (International) Limited on the China merger control filing for its acquisition by COSCO Shipping Holdings Co., Ltd </w:t>
      </w:r>
      <w:r w:rsidRPr="00B93422">
        <w:rPr>
          <w:rFonts w:ascii="等线" w:eastAsia="等线" w:hAnsi="Times New Roman"/>
          <w:color w:val="000000"/>
        </w:rPr>
        <w:t>—</w:t>
      </w:r>
      <w:r w:rsidRPr="00B93422">
        <w:rPr>
          <w:rFonts w:ascii="等线" w:eastAsia="等线" w:hAnsi="Times New Roman"/>
          <w:color w:val="000000"/>
        </w:rPr>
        <w:t xml:space="preserve"> an acquisition that will make the Chinese shipping giant the world</w:t>
      </w:r>
      <w:r w:rsidRPr="00B93422">
        <w:rPr>
          <w:rFonts w:ascii="等线" w:eastAsia="等线" w:hAnsi="Times New Roman"/>
          <w:color w:val="000000"/>
        </w:rPr>
        <w:t>’</w:t>
      </w:r>
      <w:r w:rsidRPr="00B93422">
        <w:rPr>
          <w:rFonts w:ascii="等线" w:eastAsia="等线" w:hAnsi="Times New Roman"/>
          <w:color w:val="000000"/>
        </w:rPr>
        <w:t>s third-largest container shipping line</w:t>
      </w:r>
    </w:p>
    <w:p w14:paraId="23BAF739" w14:textId="77777777" w:rsidR="00B93422" w:rsidRDefault="00B93422" w:rsidP="00B9342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3422">
        <w:rPr>
          <w:rFonts w:ascii="等线" w:eastAsia="等线" w:hAnsi="Times New Roman"/>
          <w:color w:val="000000"/>
        </w:rPr>
        <w:t xml:space="preserve">Advised the two largest steelmakers in China </w:t>
      </w:r>
      <w:r w:rsidRPr="00B93422">
        <w:rPr>
          <w:rFonts w:ascii="等线" w:eastAsia="等线" w:hAnsi="Times New Roman"/>
          <w:color w:val="000000"/>
        </w:rPr>
        <w:t>—</w:t>
      </w:r>
      <w:r w:rsidRPr="00B93422">
        <w:rPr>
          <w:rFonts w:ascii="等线" w:eastAsia="等线" w:hAnsi="Times New Roman"/>
          <w:color w:val="000000"/>
        </w:rPr>
        <w:t xml:space="preserve"> BaoSteel and WISCO </w:t>
      </w:r>
      <w:r w:rsidRPr="00B93422">
        <w:rPr>
          <w:rFonts w:ascii="等线" w:eastAsia="等线" w:hAnsi="Times New Roman"/>
          <w:color w:val="000000"/>
        </w:rPr>
        <w:t>—</w:t>
      </w:r>
      <w:r w:rsidRPr="00B93422">
        <w:rPr>
          <w:rFonts w:ascii="等线" w:eastAsia="等线" w:hAnsi="Times New Roman"/>
          <w:color w:val="000000"/>
        </w:rPr>
        <w:t xml:space="preserve"> on the China merger control filing for their merger into Baowu Group and its acquisition of majority stake of Ma Steel</w:t>
      </w:r>
    </w:p>
    <w:p w14:paraId="570B10C5" w14:textId="77777777" w:rsidR="00B93422" w:rsidRDefault="00B93422" w:rsidP="00B93422">
      <w:pPr>
        <w:pStyle w:val="af5"/>
        <w:spacing w:before="120"/>
        <w:rPr>
          <w:rFonts w:ascii="等线" w:eastAsia="等线" w:hAnsi="Times New Roman"/>
          <w:color w:val="000000"/>
        </w:rPr>
      </w:pPr>
      <w:r w:rsidRPr="00B93422">
        <w:rPr>
          <w:rFonts w:ascii="等线" w:eastAsia="等线" w:hAnsi="Times New Roman"/>
          <w:color w:val="000000"/>
        </w:rPr>
        <w:t>Antitrust Investigation</w:t>
      </w:r>
    </w:p>
    <w:p w14:paraId="2BE5320E" w14:textId="77777777" w:rsidR="00B93422" w:rsidRDefault="00B93422" w:rsidP="00B9342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3422">
        <w:rPr>
          <w:rFonts w:ascii="等线" w:eastAsia="等线" w:hAnsi="Times New Roman"/>
          <w:color w:val="000000"/>
        </w:rPr>
        <w:t>Advised several auto makers in the PRC antitrust authority investigations</w:t>
      </w:r>
    </w:p>
    <w:p w14:paraId="115C52B7" w14:textId="77777777" w:rsidR="00B93422" w:rsidRDefault="00B93422" w:rsidP="00B9342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3422">
        <w:rPr>
          <w:rFonts w:ascii="等线" w:eastAsia="等线" w:hAnsi="Times New Roman"/>
          <w:color w:val="000000"/>
        </w:rPr>
        <w:t>Advised a global leading high-tech company in handling an antitrust investigation by the PRC antitrust authority</w:t>
      </w:r>
    </w:p>
    <w:p w14:paraId="312518FF" w14:textId="77777777" w:rsidR="00B93422" w:rsidRDefault="00B93422" w:rsidP="00B9342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3422">
        <w:rPr>
          <w:rFonts w:ascii="等线" w:eastAsia="等线" w:hAnsi="Times New Roman"/>
          <w:color w:val="000000"/>
        </w:rPr>
        <w:t>Advised an international headphone company in an antitrust investigation by the PRC antitrust authority</w:t>
      </w:r>
    </w:p>
    <w:p w14:paraId="1840ABFF" w14:textId="77777777" w:rsidR="00B93422" w:rsidRDefault="00B93422" w:rsidP="00B9342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3422">
        <w:rPr>
          <w:rFonts w:ascii="等线" w:eastAsia="等线" w:hAnsi="Times New Roman"/>
          <w:color w:val="000000"/>
        </w:rPr>
        <w:t>Advised an international medical device company in an antitrust investigation by the PRC antitrust authority</w:t>
      </w:r>
    </w:p>
    <w:p w14:paraId="03CD4308" w14:textId="77777777" w:rsidR="00B93422" w:rsidRDefault="00B93422" w:rsidP="00B9342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3422">
        <w:rPr>
          <w:rFonts w:ascii="等线" w:eastAsia="等线" w:hAnsi="Times New Roman"/>
          <w:color w:val="000000"/>
        </w:rPr>
        <w:t>andAdvised an international chemical company in an antitrust investigation by the PRC antitrust authority</w:t>
      </w:r>
    </w:p>
    <w:p w14:paraId="7574F13A" w14:textId="77777777" w:rsidR="00B93422" w:rsidRDefault="00B93422" w:rsidP="00B9342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93422">
        <w:rPr>
          <w:rFonts w:ascii="等线" w:eastAsia="等线" w:hAnsi="等线"/>
          <w:b/>
          <w:sz w:val="24"/>
        </w:rPr>
        <w:t>Education</w:t>
      </w:r>
    </w:p>
    <w:p w14:paraId="3E00ADBC" w14:textId="77777777" w:rsidR="00B93422" w:rsidRDefault="00B93422" w:rsidP="00B9342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3422">
        <w:rPr>
          <w:rFonts w:ascii="等线" w:eastAsia="等线" w:hAnsi="Times New Roman"/>
          <w:color w:val="000000"/>
        </w:rPr>
        <w:t>University College London, LL.M.</w:t>
      </w:r>
    </w:p>
    <w:p w14:paraId="1ACBB600" w14:textId="77777777" w:rsidR="00B93422" w:rsidRDefault="00B93422" w:rsidP="00B9342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3422">
        <w:rPr>
          <w:rFonts w:ascii="等线" w:eastAsia="等线" w:hAnsi="Times New Roman"/>
          <w:color w:val="000000"/>
        </w:rPr>
        <w:t>School of Oriental and African Studies, University of London, LL.B.</w:t>
      </w:r>
    </w:p>
    <w:p w14:paraId="31E8FBAD" w14:textId="77777777" w:rsidR="00B93422" w:rsidRDefault="00B93422" w:rsidP="00B9342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93422">
        <w:rPr>
          <w:rFonts w:ascii="等线" w:eastAsia="等线" w:hAnsi="等线"/>
          <w:b/>
          <w:sz w:val="24"/>
        </w:rPr>
        <w:t>Professional Qualification</w:t>
      </w:r>
    </w:p>
    <w:p w14:paraId="30BC86F4" w14:textId="77777777" w:rsidR="00B93422" w:rsidRDefault="00B93422" w:rsidP="00B9342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3422">
        <w:rPr>
          <w:rFonts w:ascii="等线" w:eastAsia="等线" w:hAnsi="Times New Roman"/>
          <w:color w:val="000000"/>
        </w:rPr>
        <w:t>Admitted to practice in the PRC</w:t>
      </w:r>
    </w:p>
    <w:p w14:paraId="5E4BB506" w14:textId="77777777" w:rsidR="00B93422" w:rsidRDefault="00B93422" w:rsidP="00B9342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3422">
        <w:rPr>
          <w:rFonts w:ascii="等线" w:eastAsia="等线" w:hAnsi="Times New Roman"/>
          <w:color w:val="000000"/>
        </w:rPr>
        <w:t>Admitted to practice in New York</w:t>
      </w:r>
    </w:p>
    <w:p w14:paraId="0B716FFC" w14:textId="77777777" w:rsidR="00B93422" w:rsidRDefault="00B93422" w:rsidP="00B9342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93422">
        <w:rPr>
          <w:rFonts w:ascii="等线" w:eastAsia="等线" w:hAnsi="等线"/>
          <w:b/>
          <w:sz w:val="24"/>
        </w:rPr>
        <w:t>Professional Background</w:t>
      </w:r>
    </w:p>
    <w:p w14:paraId="5567FC3C" w14:textId="19E1C6BA" w:rsidR="00686369" w:rsidRPr="00B93422" w:rsidRDefault="00B93422" w:rsidP="00B9342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3422">
        <w:rPr>
          <w:rFonts w:ascii="等线" w:eastAsia="等线" w:hAnsi="Times New Roman"/>
          <w:color w:val="000000"/>
        </w:rPr>
        <w:t>Ms. Bivio Yu joined the firm in 2015. Before joining the firm, she worked for several international law firms and PRC law firms, including the D.C. office of a leading US firm.</w:t>
      </w:r>
    </w:p>
    <w:sectPr w:rsidR="00686369" w:rsidRPr="00B9342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43D35"/>
    <w:multiLevelType w:val="singleLevel"/>
    <w:tmpl w:val="6D76A0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3E0FB8"/>
    <w:multiLevelType w:val="singleLevel"/>
    <w:tmpl w:val="243C99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554851"/>
    <w:multiLevelType w:val="singleLevel"/>
    <w:tmpl w:val="567E91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6B6C1C"/>
    <w:multiLevelType w:val="singleLevel"/>
    <w:tmpl w:val="E4F63C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7B1FF7"/>
    <w:multiLevelType w:val="singleLevel"/>
    <w:tmpl w:val="9C18F2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ED05BBD"/>
    <w:multiLevelType w:val="singleLevel"/>
    <w:tmpl w:val="0B227D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0580E82"/>
    <w:multiLevelType w:val="singleLevel"/>
    <w:tmpl w:val="C742A8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DF54181"/>
    <w:multiLevelType w:val="singleLevel"/>
    <w:tmpl w:val="002AB9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2F451A47"/>
    <w:multiLevelType w:val="singleLevel"/>
    <w:tmpl w:val="C660F5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76B437B"/>
    <w:multiLevelType w:val="singleLevel"/>
    <w:tmpl w:val="3B22EB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CE555B7"/>
    <w:multiLevelType w:val="singleLevel"/>
    <w:tmpl w:val="77CE91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CFB30EE"/>
    <w:multiLevelType w:val="singleLevel"/>
    <w:tmpl w:val="0CE40B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4756C18"/>
    <w:multiLevelType w:val="singleLevel"/>
    <w:tmpl w:val="6CD48C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A597772"/>
    <w:multiLevelType w:val="singleLevel"/>
    <w:tmpl w:val="D3A2AD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9915E61"/>
    <w:multiLevelType w:val="singleLevel"/>
    <w:tmpl w:val="158612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9AE34CC"/>
    <w:multiLevelType w:val="singleLevel"/>
    <w:tmpl w:val="4BA672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BD12F32"/>
    <w:multiLevelType w:val="singleLevel"/>
    <w:tmpl w:val="2ED29E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EEF39E1"/>
    <w:multiLevelType w:val="singleLevel"/>
    <w:tmpl w:val="A0626E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0117A01"/>
    <w:multiLevelType w:val="singleLevel"/>
    <w:tmpl w:val="9FB6A4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73E4A0D"/>
    <w:multiLevelType w:val="singleLevel"/>
    <w:tmpl w:val="0B227D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1"/>
  </w:num>
  <w:num w:numId="3">
    <w:abstractNumId w:val="20"/>
  </w:num>
  <w:num w:numId="4">
    <w:abstractNumId w:val="4"/>
  </w:num>
  <w:num w:numId="5">
    <w:abstractNumId w:val="16"/>
  </w:num>
  <w:num w:numId="6">
    <w:abstractNumId w:val="9"/>
  </w:num>
  <w:num w:numId="7">
    <w:abstractNumId w:val="7"/>
  </w:num>
  <w:num w:numId="8">
    <w:abstractNumId w:val="1"/>
  </w:num>
  <w:num w:numId="9">
    <w:abstractNumId w:val="14"/>
  </w:num>
  <w:num w:numId="10">
    <w:abstractNumId w:val="18"/>
  </w:num>
  <w:num w:numId="11">
    <w:abstractNumId w:val="17"/>
  </w:num>
  <w:num w:numId="12">
    <w:abstractNumId w:val="0"/>
  </w:num>
  <w:num w:numId="13">
    <w:abstractNumId w:val="10"/>
  </w:num>
  <w:num w:numId="14">
    <w:abstractNumId w:val="6"/>
  </w:num>
  <w:num w:numId="15">
    <w:abstractNumId w:val="3"/>
  </w:num>
  <w:num w:numId="16">
    <w:abstractNumId w:val="15"/>
  </w:num>
  <w:num w:numId="17">
    <w:abstractNumId w:val="13"/>
  </w:num>
  <w:num w:numId="18">
    <w:abstractNumId w:val="19"/>
  </w:num>
  <w:num w:numId="19">
    <w:abstractNumId w:val="2"/>
  </w:num>
  <w:num w:numId="20">
    <w:abstractNumId w:val="12"/>
  </w:num>
  <w:num w:numId="21">
    <w:abstractNumId w:val="5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93422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9342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9342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16B1B7B-E989-4144-9A78-6F86EF6CC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413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2026-07-16T15:00:00Z</dcterms:created>
  <dcterms:modified xsi:type="dcterms:W3CDTF">2026-07-16T15:00:00Z</dcterms:modified>
</cp:coreProperties>
</file>