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5"/>
        <w:gridCol w:w="541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CA394C3" w:rsidR="0049405C" w:rsidRPr="00C24D79" w:rsidRDefault="008D5DBB" w:rsidP="008D5DB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D5DBB">
              <w:rPr>
                <w:rFonts w:ascii="等线" w:eastAsia="等线" w:hAnsi="Times New Roman"/>
                <w:b/>
                <w:color w:val="000000"/>
                <w:sz w:val="48"/>
              </w:rPr>
              <w:t>JIANBO WEI</w:t>
            </w:r>
            <w:bookmarkEnd w:id="0"/>
          </w:p>
          <w:p w14:paraId="706EB16B" w14:textId="6A8EDCAC" w:rsidR="0049405C" w:rsidRPr="00C24D79" w:rsidRDefault="008D5DBB" w:rsidP="008D5DB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D5DB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D5DB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D5DB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5B4988A" w:rsidR="0049405C" w:rsidRPr="00C24D79" w:rsidRDefault="008D5DBB" w:rsidP="008D5DB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D5DBB">
              <w:rPr>
                <w:rFonts w:ascii="等线" w:eastAsia="等线" w:hAnsi="Times New Roman"/>
                <w:color w:val="000000"/>
              </w:rPr>
              <w:t xml:space="preserve">+86 10 5769 5719 </w:t>
            </w:r>
            <w:bookmarkEnd w:id="3"/>
          </w:p>
          <w:p w14:paraId="4F910ACA" w14:textId="7C4CA8BE" w:rsidR="0049405C" w:rsidRPr="00C24D79" w:rsidRDefault="008D5DBB" w:rsidP="008D5DB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D5DBB">
              <w:rPr>
                <w:rFonts w:ascii="等线" w:eastAsia="等线" w:hAnsi="Times New Roman"/>
                <w:color w:val="000000"/>
              </w:rPr>
              <w:t>jianbo.wei@fangdalaw.com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79649C" w:rsidR="0049405C" w:rsidRPr="00C24D79" w:rsidRDefault="008D5DB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9156B98" wp14:editId="19A684FD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3F26D39" w:rsidR="009465FB" w:rsidRPr="00C24D79" w:rsidRDefault="008D5DB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D5DBB">
              <w:rPr>
                <w:rFonts w:ascii="等线" w:eastAsia="等线" w:hAnsi="Times New Roman"/>
                <w:color w:val="000000"/>
                <w:szCs w:val="21"/>
              </w:rPr>
              <w:t>MR. JIANBO WEI SPECIALIZES IN OVERSEAS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1097D1A" w14:textId="77777777" w:rsidR="008D5DB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E4AF2AE" w14:textId="77777777" w:rsidR="008D5DBB" w:rsidRDefault="008D5DBB" w:rsidP="008D5D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5DBB">
        <w:rPr>
          <w:rFonts w:ascii="等线" w:eastAsia="等线" w:hAnsi="等线"/>
          <w:b/>
          <w:sz w:val="24"/>
        </w:rPr>
        <w:t>REPRESENTATIVE MATTERS AND CASES</w:t>
      </w:r>
    </w:p>
    <w:p w14:paraId="1A394707" w14:textId="77777777" w:rsidR="008D5DBB" w:rsidRDefault="008D5DBB" w:rsidP="008D5DB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768B095" w14:textId="77777777" w:rsidR="008D5DBB" w:rsidRDefault="008D5DBB" w:rsidP="008D5DB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Kingsoft Cloud Holdings Limited (NASDAQ: KC) in its initial public offering on the NASDAQ</w:t>
      </w:r>
    </w:p>
    <w:p w14:paraId="03F1CBA1" w14:textId="77777777" w:rsidR="008D5DBB" w:rsidRDefault="008D5DBB" w:rsidP="008D5DB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Qudian Inc. (NYSE: QD) in its initial public offering on the New York Stock Exchange</w:t>
      </w:r>
    </w:p>
    <w:p w14:paraId="6374C673" w14:textId="77777777" w:rsidR="008D5DBB" w:rsidRDefault="008D5DBB" w:rsidP="008D5DB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Jianpu Technology Inc. (Rong360) (NYSE: JT) in its initial public offering on the New York Stock Exchange</w:t>
      </w:r>
    </w:p>
    <w:p w14:paraId="280A1BF9" w14:textId="77777777" w:rsidR="008D5DBB" w:rsidRDefault="008D5DBB" w:rsidP="008D5DB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Cango Inc. (NYSE: CANG) in its initial public offering on the New York Stock Exchange</w:t>
      </w:r>
    </w:p>
    <w:p w14:paraId="4186F6D5" w14:textId="77777777" w:rsidR="008D5DBB" w:rsidRDefault="008D5DBB" w:rsidP="008D5DB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the underwriters Morgan Stanley, Credit Suisse, and Citigroup in connection with the initial public offering of Huami Corporation (NYSE: HMI) on the New York Stock Exchange</w:t>
      </w:r>
    </w:p>
    <w:p w14:paraId="1E1C723B" w14:textId="77777777" w:rsidR="008D5DBB" w:rsidRDefault="008D5DBB" w:rsidP="008D5DB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initial public offering of UP Fintech Holding Limited (NASDAQ: TIGR) on the NASDAQ</w:t>
      </w:r>
    </w:p>
    <w:p w14:paraId="0B1C8DF8" w14:textId="77777777" w:rsidR="008D5DBB" w:rsidRDefault="008D5DBB" w:rsidP="008D5DB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the underwriters Morgan Stanley and J.P. Morgan in the Kingsoft Corporation Limited (HK: 3888) issuance of HK$3.1 billion in convertible bonds due 2025</w:t>
      </w:r>
    </w:p>
    <w:p w14:paraId="54C5F220" w14:textId="77777777" w:rsidR="008D5DBB" w:rsidRDefault="008D5DBB" w:rsidP="008D5DB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Warburg Pincus in its strategic investment in Ant Financial</w:t>
      </w:r>
    </w:p>
    <w:p w14:paraId="06DB6AC1" w14:textId="77777777" w:rsidR="008D5DBB" w:rsidRDefault="008D5DBB" w:rsidP="008D5DB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Warburg Pincus in its strategic investment in Henan Zhongyuan Consumer Finance Co., Ltd</w:t>
      </w:r>
    </w:p>
    <w:p w14:paraId="53201E79" w14:textId="77777777" w:rsidR="008D5DBB" w:rsidRDefault="008D5DBB" w:rsidP="008D5DB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CITIC PE in its strategic investment in JD Health International Inc</w:t>
      </w:r>
    </w:p>
    <w:p w14:paraId="0303B3B7" w14:textId="77777777" w:rsidR="008D5DBB" w:rsidRDefault="008D5DBB" w:rsidP="008D5DB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Junzheng Group in its purchase of a 15.3% stake of Huatai Insurance</w:t>
      </w:r>
    </w:p>
    <w:p w14:paraId="157790C1" w14:textId="77777777" w:rsidR="008D5DBB" w:rsidRDefault="008D5DBB" w:rsidP="008D5DB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Canada Scotiabank in its strategic investment in the Bank of Xi</w:t>
      </w:r>
      <w:r w:rsidRPr="008D5DBB">
        <w:rPr>
          <w:rFonts w:ascii="等线" w:eastAsia="等线" w:hAnsi="Times New Roman"/>
          <w:color w:val="000000"/>
        </w:rPr>
        <w:t>’</w:t>
      </w:r>
      <w:r w:rsidRPr="008D5DBB">
        <w:rPr>
          <w:rFonts w:ascii="等线" w:eastAsia="等线" w:hAnsi="Times New Roman"/>
          <w:color w:val="000000"/>
        </w:rPr>
        <w:t>an</w:t>
      </w:r>
    </w:p>
    <w:p w14:paraId="7BB5668F" w14:textId="77777777" w:rsidR="008D5DBB" w:rsidRDefault="008D5DBB" w:rsidP="008D5DB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Alibaba in its strategic investment in Enlight Media</w:t>
      </w:r>
    </w:p>
    <w:p w14:paraId="7F106293" w14:textId="77777777" w:rsidR="008D5DBB" w:rsidRDefault="008D5DBB" w:rsidP="008D5DB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Didi Chuxing in its strategic investment in Ren Ren Che</w:t>
      </w:r>
    </w:p>
    <w:p w14:paraId="250A9986" w14:textId="77777777" w:rsidR="008D5DBB" w:rsidRDefault="008D5DBB" w:rsidP="008D5DB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Primavera Capital in its investment in Souche</w:t>
      </w:r>
    </w:p>
    <w:p w14:paraId="3468A891" w14:textId="77777777" w:rsidR="008D5DBB" w:rsidRDefault="008D5DBB" w:rsidP="008D5DB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Kuaishou in its Series E financing</w:t>
      </w:r>
    </w:p>
    <w:p w14:paraId="07D343B4" w14:textId="77777777" w:rsidR="008D5DBB" w:rsidRDefault="008D5DBB" w:rsidP="008D5DB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Foshan Deruike Pharmaceuticals Co., Ltd in receiving investment from Hainan Sihuan Pharmaceutical Co., Ltd. of up to RMB 400 million</w:t>
      </w:r>
    </w:p>
    <w:p w14:paraId="293388C2" w14:textId="77777777" w:rsidR="008D5DBB" w:rsidRDefault="008D5DBB" w:rsidP="008D5DB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Haisco Pharmaceutical Group Co., Ltd, an A-share listed company, in its investment in Israeli medical device enterprises, including MST Medical Surgery Technologies Ltd., Sensible Medical Innovations Ltd., Endospan Ltd., and Newpace Ltd</w:t>
      </w:r>
    </w:p>
    <w:p w14:paraId="2D35E670" w14:textId="77777777" w:rsidR="008D5DBB" w:rsidRDefault="008D5DBB" w:rsidP="008D5DB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Represented Jumei in its investment in Jiedian</w:t>
      </w:r>
    </w:p>
    <w:p w14:paraId="00B71F6C" w14:textId="77777777" w:rsidR="008D5DBB" w:rsidRDefault="008D5DBB" w:rsidP="008D5DB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Acted as legal advisor on general corporate affairs for listed companies including Sina, Jianpu (Rong360), Qudian, Jumei, and Cango</w:t>
      </w:r>
    </w:p>
    <w:p w14:paraId="34165251" w14:textId="77777777" w:rsidR="008D5DBB" w:rsidRDefault="008D5DBB" w:rsidP="008D5D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5DBB">
        <w:rPr>
          <w:rFonts w:ascii="等线" w:eastAsia="等线" w:hAnsi="等线"/>
          <w:b/>
          <w:sz w:val="24"/>
        </w:rPr>
        <w:t>Education</w:t>
      </w:r>
    </w:p>
    <w:p w14:paraId="090D406A" w14:textId="77777777" w:rsidR="008D5DBB" w:rsidRDefault="008D5DBB" w:rsidP="008D5DB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Renmin University of China, Master of Laws</w:t>
      </w:r>
    </w:p>
    <w:p w14:paraId="51CED813" w14:textId="77777777" w:rsidR="008D5DBB" w:rsidRDefault="008D5DBB" w:rsidP="008D5DB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China Foreign Affairs University, Bachelor of Laws</w:t>
      </w:r>
    </w:p>
    <w:p w14:paraId="30E9C285" w14:textId="77777777" w:rsidR="008D5DBB" w:rsidRDefault="008D5DBB" w:rsidP="008D5DB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China Foreign Affairs University, B.A. in English Literature</w:t>
      </w:r>
    </w:p>
    <w:p w14:paraId="5C96702B" w14:textId="77777777" w:rsidR="008D5DBB" w:rsidRDefault="008D5DBB" w:rsidP="008D5D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5DBB">
        <w:rPr>
          <w:rFonts w:ascii="等线" w:eastAsia="等线" w:hAnsi="等线"/>
          <w:b/>
          <w:sz w:val="24"/>
        </w:rPr>
        <w:t>Professional Qualification</w:t>
      </w:r>
    </w:p>
    <w:p w14:paraId="5567FC3C" w14:textId="125A1696" w:rsidR="00686369" w:rsidRPr="008D5DBB" w:rsidRDefault="008D5DBB" w:rsidP="008D5DB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5DBB">
        <w:rPr>
          <w:rFonts w:ascii="等线" w:eastAsia="等线" w:hAnsi="Times New Roman"/>
          <w:color w:val="000000"/>
        </w:rPr>
        <w:t>Admitted to practice in the PRC</w:t>
      </w:r>
    </w:p>
    <w:sectPr w:rsidR="00686369" w:rsidRPr="008D5DB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C3A70"/>
    <w:multiLevelType w:val="singleLevel"/>
    <w:tmpl w:val="AF921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261630"/>
    <w:multiLevelType w:val="singleLevel"/>
    <w:tmpl w:val="C0F4F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176B8E"/>
    <w:multiLevelType w:val="singleLevel"/>
    <w:tmpl w:val="03E84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AD1EF3"/>
    <w:multiLevelType w:val="singleLevel"/>
    <w:tmpl w:val="B3C2AA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CC6733"/>
    <w:multiLevelType w:val="singleLevel"/>
    <w:tmpl w:val="98C69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1754C5"/>
    <w:multiLevelType w:val="singleLevel"/>
    <w:tmpl w:val="E812B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D04C37"/>
    <w:multiLevelType w:val="singleLevel"/>
    <w:tmpl w:val="17CC5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BC2CE6"/>
    <w:multiLevelType w:val="singleLevel"/>
    <w:tmpl w:val="4A400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440416C"/>
    <w:multiLevelType w:val="singleLevel"/>
    <w:tmpl w:val="33E8B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0F0176"/>
    <w:multiLevelType w:val="singleLevel"/>
    <w:tmpl w:val="425C3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F47467B"/>
    <w:multiLevelType w:val="singleLevel"/>
    <w:tmpl w:val="2C203E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FED38DE"/>
    <w:multiLevelType w:val="singleLevel"/>
    <w:tmpl w:val="7AE8B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C6336A"/>
    <w:multiLevelType w:val="singleLevel"/>
    <w:tmpl w:val="EA880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75C465F"/>
    <w:multiLevelType w:val="singleLevel"/>
    <w:tmpl w:val="A72A6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6A2817"/>
    <w:multiLevelType w:val="singleLevel"/>
    <w:tmpl w:val="CA466B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EE97C3E"/>
    <w:multiLevelType w:val="singleLevel"/>
    <w:tmpl w:val="67720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0C0BAA"/>
    <w:multiLevelType w:val="singleLevel"/>
    <w:tmpl w:val="A9862E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4CF4EA3"/>
    <w:multiLevelType w:val="singleLevel"/>
    <w:tmpl w:val="2FF2D4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375B87"/>
    <w:multiLevelType w:val="singleLevel"/>
    <w:tmpl w:val="DB62E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116CE3"/>
    <w:multiLevelType w:val="singleLevel"/>
    <w:tmpl w:val="72FC8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7656208"/>
    <w:multiLevelType w:val="singleLevel"/>
    <w:tmpl w:val="6F523B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0A6B58"/>
    <w:multiLevelType w:val="singleLevel"/>
    <w:tmpl w:val="C6F67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29030F"/>
    <w:multiLevelType w:val="singleLevel"/>
    <w:tmpl w:val="7F64B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28D6926"/>
    <w:multiLevelType w:val="singleLevel"/>
    <w:tmpl w:val="4A400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764690"/>
    <w:multiLevelType w:val="singleLevel"/>
    <w:tmpl w:val="EAA2DD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19"/>
  </w:num>
  <w:num w:numId="4">
    <w:abstractNumId w:val="4"/>
  </w:num>
  <w:num w:numId="5">
    <w:abstractNumId w:val="2"/>
  </w:num>
  <w:num w:numId="6">
    <w:abstractNumId w:val="26"/>
  </w:num>
  <w:num w:numId="7">
    <w:abstractNumId w:val="5"/>
  </w:num>
  <w:num w:numId="8">
    <w:abstractNumId w:val="24"/>
  </w:num>
  <w:num w:numId="9">
    <w:abstractNumId w:val="0"/>
  </w:num>
  <w:num w:numId="10">
    <w:abstractNumId w:val="16"/>
  </w:num>
  <w:num w:numId="11">
    <w:abstractNumId w:val="15"/>
  </w:num>
  <w:num w:numId="12">
    <w:abstractNumId w:val="9"/>
  </w:num>
  <w:num w:numId="13">
    <w:abstractNumId w:val="20"/>
  </w:num>
  <w:num w:numId="14">
    <w:abstractNumId w:val="12"/>
  </w:num>
  <w:num w:numId="15">
    <w:abstractNumId w:val="22"/>
  </w:num>
  <w:num w:numId="16">
    <w:abstractNumId w:val="21"/>
  </w:num>
  <w:num w:numId="17">
    <w:abstractNumId w:val="10"/>
  </w:num>
  <w:num w:numId="18">
    <w:abstractNumId w:val="23"/>
  </w:num>
  <w:num w:numId="19">
    <w:abstractNumId w:val="3"/>
  </w:num>
  <w:num w:numId="20">
    <w:abstractNumId w:val="14"/>
  </w:num>
  <w:num w:numId="21">
    <w:abstractNumId w:val="6"/>
  </w:num>
  <w:num w:numId="22">
    <w:abstractNumId w:val="13"/>
  </w:num>
  <w:num w:numId="23">
    <w:abstractNumId w:val="17"/>
  </w:num>
  <w:num w:numId="24">
    <w:abstractNumId w:val="18"/>
  </w:num>
  <w:num w:numId="25">
    <w:abstractNumId w:val="1"/>
  </w:num>
  <w:num w:numId="26">
    <w:abstractNumId w:val="7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5DBB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D5DB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D5DB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D342FD-6843-40B5-9B6B-88CD93C49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2026-07-16T16:05:00Z</dcterms:created>
  <dcterms:modified xsi:type="dcterms:W3CDTF">2026-07-16T16:05:00Z</dcterms:modified>
</cp:coreProperties>
</file>