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E6D69A4" w:rsidR="0049405C" w:rsidRPr="00C24D79" w:rsidRDefault="00092608" w:rsidP="0009260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92608">
              <w:rPr>
                <w:rFonts w:ascii="等线" w:eastAsia="等线" w:hAnsi="Times New Roman"/>
                <w:b/>
                <w:color w:val="000000"/>
                <w:sz w:val="48"/>
              </w:rPr>
              <w:t>YIRU WANG</w:t>
            </w:r>
            <w:bookmarkEnd w:id="0"/>
          </w:p>
          <w:p w14:paraId="706EB16B" w14:textId="767AB914" w:rsidR="0049405C" w:rsidRPr="00C24D79" w:rsidRDefault="00092608" w:rsidP="0009260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92608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09260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92608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D1B21E2" w:rsidR="0049405C" w:rsidRPr="00C24D79" w:rsidRDefault="00092608" w:rsidP="0009260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92608">
              <w:rPr>
                <w:rFonts w:ascii="等线" w:eastAsia="等线" w:hAnsi="Times New Roman"/>
                <w:color w:val="000000"/>
              </w:rPr>
              <w:t xml:space="preserve">+86 21 2208 1107 </w:t>
            </w:r>
            <w:bookmarkEnd w:id="3"/>
          </w:p>
          <w:p w14:paraId="4F910ACA" w14:textId="74EFD169" w:rsidR="0049405C" w:rsidRPr="00C24D79" w:rsidRDefault="00092608" w:rsidP="0009260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92608">
              <w:rPr>
                <w:rFonts w:ascii="等线" w:eastAsia="等线" w:hAnsi="Times New Roman"/>
                <w:color w:val="000000"/>
              </w:rPr>
              <w:t>yiru.wang@fangdalaw.com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827D91A" w:rsidR="0049405C" w:rsidRPr="00C24D79" w:rsidRDefault="0009260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BC08273" wp14:editId="72C20E8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F41A215" w:rsidR="009465FB" w:rsidRPr="00C24D79" w:rsidRDefault="0009260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92608">
              <w:rPr>
                <w:rFonts w:ascii="等线" w:eastAsia="等线" w:hAnsi="Times New Roman"/>
                <w:color w:val="000000"/>
                <w:szCs w:val="21"/>
              </w:rPr>
              <w:t>MR. WANG SPECIALIZES IN PRIVATE EQUITY, CROSS</w:t>
            </w:r>
            <w:r w:rsidRPr="00092608">
              <w:rPr>
                <w:rFonts w:ascii="等线" w:eastAsia="等线" w:hAnsi="Times New Roman"/>
                <w:color w:val="000000"/>
                <w:szCs w:val="21"/>
              </w:rPr>
              <w:t>‐</w:t>
            </w:r>
            <w:r w:rsidRPr="00092608">
              <w:rPr>
                <w:rFonts w:ascii="等线" w:eastAsia="等线" w:hAnsi="Times New Roman"/>
                <w:color w:val="000000"/>
                <w:szCs w:val="21"/>
              </w:rPr>
              <w:t xml:space="preserve"> BORDER RESTRUCTURING, MERGER AND ACQUISITION.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EDBB48B" w14:textId="77777777" w:rsidR="0009260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24D0673" w14:textId="77777777" w:rsidR="00092608" w:rsidRDefault="00092608" w:rsidP="0009260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92608">
        <w:rPr>
          <w:rFonts w:ascii="等线" w:eastAsia="等线" w:hAnsi="等线"/>
          <w:b/>
          <w:sz w:val="24"/>
        </w:rPr>
        <w:t>REPRESENTATIVE MATTERS AND CASES</w:t>
      </w:r>
    </w:p>
    <w:p w14:paraId="45383301" w14:textId="77777777" w:rsidR="00092608" w:rsidRDefault="00092608" w:rsidP="00092608">
      <w:pPr>
        <w:pStyle w:val="af5"/>
        <w:spacing w:before="12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Private Equity and Cross-Border Restructuring</w:t>
      </w:r>
    </w:p>
    <w:p w14:paraId="73689175" w14:textId="77777777" w:rsidR="00092608" w:rsidRDefault="00092608" w:rsidP="0009260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Represented Ant Financial in its investment in Hellobike, the operator of the largest bike-sharing platform in China, and relevant cross-border restructuring of Hellobike</w:t>
      </w:r>
    </w:p>
    <w:p w14:paraId="6C2A4080" w14:textId="77777777" w:rsidR="00092608" w:rsidRDefault="00092608" w:rsidP="0009260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Represented Ant Financial in its investment in a strategic joint venture with Hellobike and CATL</w:t>
      </w:r>
    </w:p>
    <w:p w14:paraId="7A549857" w14:textId="77777777" w:rsidR="00092608" w:rsidRDefault="00092608" w:rsidP="0009260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Represented Warburg Pincus in the cross-border restructuring and subsequent listing on NEEQ of Kidswant, a leading maternity-infant-children specialty retailer</w:t>
      </w:r>
    </w:p>
    <w:p w14:paraId="49B2C185" w14:textId="77777777" w:rsidR="00092608" w:rsidRDefault="00092608" w:rsidP="0009260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Represented Warburg Pincus in the cross-border restructuring and subsequent IPO of Liepin, the largest mid-senior level professional &amp; talent online platform in China</w:t>
      </w:r>
    </w:p>
    <w:p w14:paraId="6D8BD595" w14:textId="77777777" w:rsidR="00092608" w:rsidRDefault="00092608" w:rsidP="0009260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Represented Goldman Sachs in the cross-border restructuring and subsequent IPO of Ascletis Pharma, a leading biotechnology company</w:t>
      </w:r>
    </w:p>
    <w:p w14:paraId="4D5D91FF" w14:textId="77777777" w:rsidR="00092608" w:rsidRDefault="00092608" w:rsidP="0009260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Represented Alibaba in its investment in AISpeech, a leading speech technology platform</w:t>
      </w:r>
    </w:p>
    <w:p w14:paraId="2A4BC27E" w14:textId="77777777" w:rsidR="00092608" w:rsidRDefault="00092608" w:rsidP="0009260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Represented Alibaba and YF Capital in its investment in Qiniu Cloud, a leading enterprise cloud service supplier</w:t>
      </w:r>
    </w:p>
    <w:p w14:paraId="688C9022" w14:textId="77777777" w:rsidR="00092608" w:rsidRDefault="00092608" w:rsidP="0009260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Represented YF Capital in its investment in Montage Tech, a leading provider of analog and mixed-signal semiconductor solutions</w:t>
      </w:r>
    </w:p>
    <w:p w14:paraId="6B42FDAD" w14:textId="77777777" w:rsidR="00092608" w:rsidRDefault="00092608" w:rsidP="0009260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Represented YF Capital in its investment in Leyan Tech, a leading artificial intelligence customer service provider</w:t>
      </w:r>
    </w:p>
    <w:p w14:paraId="662509DC" w14:textId="77777777" w:rsidR="00092608" w:rsidRDefault="00092608" w:rsidP="0009260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Represented Hillhouse in its investment in Gaodun, a leading online professional education service provider</w:t>
      </w:r>
    </w:p>
    <w:p w14:paraId="052039E6" w14:textId="77777777" w:rsidR="00092608" w:rsidRDefault="00092608" w:rsidP="0009260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Represented ANE Logstics, a leading</w:t>
      </w:r>
      <w:r w:rsidRPr="00092608">
        <w:rPr>
          <w:rFonts w:ascii="等线" w:eastAsia="等线" w:hAnsi="Times New Roman"/>
          <w:color w:val="000000"/>
        </w:rPr>
        <w:t> </w:t>
      </w:r>
      <w:r w:rsidRPr="00092608">
        <w:rPr>
          <w:rFonts w:ascii="等线" w:eastAsia="等线" w:hAnsi="Times New Roman"/>
          <w:color w:val="000000"/>
        </w:rPr>
        <w:t xml:space="preserve"> trucking and logistics services provider, in its share structure restructuring and equity financing</w:t>
      </w:r>
    </w:p>
    <w:p w14:paraId="25F921C5" w14:textId="77777777" w:rsidR="00092608" w:rsidRDefault="00092608" w:rsidP="0009260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Represented Pipilu, a leading children entertainment content and products provider, in its cross-border restructuring and equity financing</w:t>
      </w:r>
    </w:p>
    <w:p w14:paraId="38C961EB" w14:textId="77777777" w:rsidR="00092608" w:rsidRDefault="00092608" w:rsidP="0009260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Represented MitrAssist, an Isreali medical device manufacturer, in its share structure restructuring and equity financing</w:t>
      </w:r>
    </w:p>
    <w:p w14:paraId="2D094F62" w14:textId="77777777" w:rsidR="00092608" w:rsidRDefault="00092608" w:rsidP="0009260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Represented CstonePharma, a biopharma company focused on developing innovative immuno-oncology and molecularly targeted drugs, in its pre-IPO restructuring</w:t>
      </w:r>
    </w:p>
    <w:p w14:paraId="3E950EC8" w14:textId="77777777" w:rsidR="00092608" w:rsidRDefault="00092608" w:rsidP="00092608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Represented WukongZhaoFang, Panda ABC, Eddingpharm in their equity financings</w:t>
      </w:r>
    </w:p>
    <w:p w14:paraId="13428C9E" w14:textId="77777777" w:rsidR="00092608" w:rsidRDefault="00092608" w:rsidP="00092608">
      <w:pPr>
        <w:pStyle w:val="af5"/>
        <w:spacing w:before="12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Merger and Acquisition</w:t>
      </w:r>
    </w:p>
    <w:p w14:paraId="64487B8D" w14:textId="77777777" w:rsidR="00092608" w:rsidRDefault="00092608" w:rsidP="00092608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Represented City Development Limited in its RMB 4.4 billion acquisition of equity in Chongqing Sincere</w:t>
      </w:r>
    </w:p>
    <w:p w14:paraId="5B8E9045" w14:textId="77777777" w:rsidR="00092608" w:rsidRDefault="00092608" w:rsidP="00092608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Represented Eddingpharm in its US$375 million acquisition of certain onshore business of Lilly</w:t>
      </w:r>
    </w:p>
    <w:p w14:paraId="7E1C832A" w14:textId="77777777" w:rsidR="00092608" w:rsidRDefault="00092608" w:rsidP="00092608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Represented Fujian Automobile Group Limited on the RMB 690 million acquisition of 35% equity in Fujian Benz Automotive Co., Ltd. (a Sino-foreign joint venture) by BAIC Motor Corporation Limited (01958.HK)</w:t>
      </w:r>
    </w:p>
    <w:p w14:paraId="1631C2A2" w14:textId="77777777" w:rsidR="00092608" w:rsidRDefault="00092608" w:rsidP="00092608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Represented Morgan Stanley on the RMB800 million acquisition of 11% equity in Hangzhou Trust by Greenland Holdings Group Corporation Limited (600606)</w:t>
      </w:r>
    </w:p>
    <w:p w14:paraId="23645D04" w14:textId="77777777" w:rsidR="00092608" w:rsidRDefault="00092608" w:rsidP="00092608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Represented Warburg Pincus in its acquisition of equity in a company engaged in education business</w:t>
      </w:r>
    </w:p>
    <w:p w14:paraId="7C5061A5" w14:textId="77777777" w:rsidR="00092608" w:rsidRDefault="00092608" w:rsidP="00092608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Represented Vastec Medical Limited on the US$60 million takeover by Shinva Medical Instrument Co., Ltd. (600587)</w:t>
      </w:r>
    </w:p>
    <w:p w14:paraId="1B407C88" w14:textId="77777777" w:rsidR="00092608" w:rsidRDefault="00092608" w:rsidP="00092608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Represented Suzhou Anjie Technology Co., Ltd. (002635) on its US$145 million takeover of Supernova Holdings (Singapore) Pte. Ltd.</w:t>
      </w:r>
    </w:p>
    <w:p w14:paraId="08F07BBE" w14:textId="77777777" w:rsidR="00092608" w:rsidRDefault="00092608" w:rsidP="0009260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92608">
        <w:rPr>
          <w:rFonts w:ascii="等线" w:eastAsia="等线" w:hAnsi="等线"/>
          <w:b/>
          <w:sz w:val="24"/>
        </w:rPr>
        <w:t>Education</w:t>
      </w:r>
    </w:p>
    <w:p w14:paraId="33E498C7" w14:textId="77777777" w:rsidR="00092608" w:rsidRDefault="00092608" w:rsidP="00092608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New York University, School of Law, LLM</w:t>
      </w:r>
    </w:p>
    <w:p w14:paraId="393A5F49" w14:textId="77777777" w:rsidR="00092608" w:rsidRDefault="00092608" w:rsidP="00092608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East China University of Political Science and Law, LLB</w:t>
      </w:r>
    </w:p>
    <w:p w14:paraId="0D8EB175" w14:textId="77777777" w:rsidR="00092608" w:rsidRDefault="00092608" w:rsidP="0009260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92608">
        <w:rPr>
          <w:rFonts w:ascii="等线" w:eastAsia="等线" w:hAnsi="等线"/>
          <w:b/>
          <w:sz w:val="24"/>
        </w:rPr>
        <w:t>Professional Qualification</w:t>
      </w:r>
    </w:p>
    <w:p w14:paraId="1C1B8574" w14:textId="77777777" w:rsidR="00092608" w:rsidRDefault="00092608" w:rsidP="00092608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Admitted to practice in the PRC</w:t>
      </w:r>
    </w:p>
    <w:p w14:paraId="6470805C" w14:textId="77777777" w:rsidR="00092608" w:rsidRDefault="00092608" w:rsidP="00092608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Admitted to practice in New York</w:t>
      </w:r>
    </w:p>
    <w:p w14:paraId="128A3194" w14:textId="77777777" w:rsidR="00092608" w:rsidRDefault="00092608" w:rsidP="0009260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92608">
        <w:rPr>
          <w:rFonts w:ascii="等线" w:eastAsia="等线" w:hAnsi="等线"/>
          <w:b/>
          <w:sz w:val="24"/>
        </w:rPr>
        <w:t>Professional Background</w:t>
      </w:r>
    </w:p>
    <w:p w14:paraId="5567FC3C" w14:textId="5A9CBF8C" w:rsidR="00686369" w:rsidRPr="00092608" w:rsidRDefault="00092608" w:rsidP="00092608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2608">
        <w:rPr>
          <w:rFonts w:ascii="等线" w:eastAsia="等线" w:hAnsi="Times New Roman"/>
          <w:color w:val="000000"/>
        </w:rPr>
        <w:t>Mr. Wang joined Fangda Partners in 2015. Prior to joining Fangda Partners, he worked with a leading Chinese domestic law firm.</w:t>
      </w:r>
    </w:p>
    <w:sectPr w:rsidR="00686369" w:rsidRPr="0009260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3563B"/>
    <w:multiLevelType w:val="singleLevel"/>
    <w:tmpl w:val="94D8BE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7A5DC6"/>
    <w:multiLevelType w:val="singleLevel"/>
    <w:tmpl w:val="A4D88B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7D7AF2"/>
    <w:multiLevelType w:val="singleLevel"/>
    <w:tmpl w:val="166EF3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D257484"/>
    <w:multiLevelType w:val="singleLevel"/>
    <w:tmpl w:val="6B8A00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E4F314D"/>
    <w:multiLevelType w:val="singleLevel"/>
    <w:tmpl w:val="EE84BC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65570D0"/>
    <w:multiLevelType w:val="singleLevel"/>
    <w:tmpl w:val="4E348C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8D55E65"/>
    <w:multiLevelType w:val="singleLevel"/>
    <w:tmpl w:val="3B0EE8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9D81EAB"/>
    <w:multiLevelType w:val="singleLevel"/>
    <w:tmpl w:val="54DE3E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B37400A"/>
    <w:multiLevelType w:val="singleLevel"/>
    <w:tmpl w:val="158845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1B266F4"/>
    <w:multiLevelType w:val="singleLevel"/>
    <w:tmpl w:val="5E9869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212503B"/>
    <w:multiLevelType w:val="singleLevel"/>
    <w:tmpl w:val="802470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2EF35B91"/>
    <w:multiLevelType w:val="singleLevel"/>
    <w:tmpl w:val="16AAD3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A89604F"/>
    <w:multiLevelType w:val="singleLevel"/>
    <w:tmpl w:val="3AAC59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E06276E"/>
    <w:multiLevelType w:val="singleLevel"/>
    <w:tmpl w:val="B9FEF8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F404D77"/>
    <w:multiLevelType w:val="singleLevel"/>
    <w:tmpl w:val="306E50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85F2111"/>
    <w:multiLevelType w:val="singleLevel"/>
    <w:tmpl w:val="CFF236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8A06DE0"/>
    <w:multiLevelType w:val="singleLevel"/>
    <w:tmpl w:val="94D8BE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B316EBC"/>
    <w:multiLevelType w:val="singleLevel"/>
    <w:tmpl w:val="2CF629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D016D15"/>
    <w:multiLevelType w:val="singleLevel"/>
    <w:tmpl w:val="2454EF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11C5820"/>
    <w:multiLevelType w:val="singleLevel"/>
    <w:tmpl w:val="1ACAF5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5F72516"/>
    <w:multiLevelType w:val="singleLevel"/>
    <w:tmpl w:val="F5F422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6EC52AE"/>
    <w:multiLevelType w:val="singleLevel"/>
    <w:tmpl w:val="28CEAA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3462D5E"/>
    <w:multiLevelType w:val="singleLevel"/>
    <w:tmpl w:val="FA7AC5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D7A414E"/>
    <w:multiLevelType w:val="singleLevel"/>
    <w:tmpl w:val="BF1C1C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0362865"/>
    <w:multiLevelType w:val="singleLevel"/>
    <w:tmpl w:val="D52A41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35F4EC7"/>
    <w:multiLevelType w:val="singleLevel"/>
    <w:tmpl w:val="6D8AD0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7F3049E"/>
    <w:multiLevelType w:val="singleLevel"/>
    <w:tmpl w:val="671E69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BE42F2C"/>
    <w:multiLevelType w:val="singleLevel"/>
    <w:tmpl w:val="C608AB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4"/>
  </w:num>
  <w:num w:numId="3">
    <w:abstractNumId w:val="16"/>
  </w:num>
  <w:num w:numId="4">
    <w:abstractNumId w:val="22"/>
  </w:num>
  <w:num w:numId="5">
    <w:abstractNumId w:val="19"/>
  </w:num>
  <w:num w:numId="6">
    <w:abstractNumId w:val="27"/>
  </w:num>
  <w:num w:numId="7">
    <w:abstractNumId w:val="5"/>
  </w:num>
  <w:num w:numId="8">
    <w:abstractNumId w:val="25"/>
  </w:num>
  <w:num w:numId="9">
    <w:abstractNumId w:val="23"/>
  </w:num>
  <w:num w:numId="10">
    <w:abstractNumId w:val="8"/>
  </w:num>
  <w:num w:numId="11">
    <w:abstractNumId w:val="26"/>
  </w:num>
  <w:num w:numId="12">
    <w:abstractNumId w:val="7"/>
  </w:num>
  <w:num w:numId="13">
    <w:abstractNumId w:val="21"/>
  </w:num>
  <w:num w:numId="14">
    <w:abstractNumId w:val="1"/>
  </w:num>
  <w:num w:numId="15">
    <w:abstractNumId w:val="13"/>
  </w:num>
  <w:num w:numId="16">
    <w:abstractNumId w:val="10"/>
  </w:num>
  <w:num w:numId="17">
    <w:abstractNumId w:val="28"/>
  </w:num>
  <w:num w:numId="18">
    <w:abstractNumId w:val="20"/>
  </w:num>
  <w:num w:numId="19">
    <w:abstractNumId w:val="2"/>
  </w:num>
  <w:num w:numId="20">
    <w:abstractNumId w:val="4"/>
  </w:num>
  <w:num w:numId="21">
    <w:abstractNumId w:val="6"/>
  </w:num>
  <w:num w:numId="22">
    <w:abstractNumId w:val="15"/>
  </w:num>
  <w:num w:numId="23">
    <w:abstractNumId w:val="9"/>
  </w:num>
  <w:num w:numId="24">
    <w:abstractNumId w:val="29"/>
  </w:num>
  <w:num w:numId="25">
    <w:abstractNumId w:val="17"/>
  </w:num>
  <w:num w:numId="26">
    <w:abstractNumId w:val="3"/>
  </w:num>
  <w:num w:numId="27">
    <w:abstractNumId w:val="24"/>
  </w:num>
  <w:num w:numId="28">
    <w:abstractNumId w:val="12"/>
  </w:num>
  <w:num w:numId="29">
    <w:abstractNumId w:val="18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92608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9260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9260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819E83F-642D-4517-AA8E-69D5E8819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514</Words>
  <Characters>2931</Characters>
  <Application>Microsoft Office Word</Application>
  <DocSecurity>0</DocSecurity>
  <Lines>24</Lines>
  <Paragraphs>6</Paragraphs>
  <ScaleCrop>false</ScaleCrop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2026-07-16T16:06:00Z</dcterms:created>
  <dcterms:modified xsi:type="dcterms:W3CDTF">2026-07-16T16:06:00Z</dcterms:modified>
</cp:coreProperties>
</file>