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A90DBC0" w:rsidR="0049405C" w:rsidRPr="00C24D79" w:rsidRDefault="000E71CF" w:rsidP="000E71C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E71CF">
              <w:rPr>
                <w:rFonts w:ascii="等线" w:eastAsia="等线" w:hAnsi="Times New Roman"/>
                <w:b/>
                <w:color w:val="000000"/>
                <w:sz w:val="48"/>
              </w:rPr>
              <w:t>TINGTING LIAO</w:t>
            </w:r>
            <w:bookmarkEnd w:id="0"/>
          </w:p>
          <w:p w14:paraId="706EB16B" w14:textId="724B16E9" w:rsidR="0049405C" w:rsidRPr="00C24D79" w:rsidRDefault="000E71CF" w:rsidP="000E71C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E71CF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0E71C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E71CF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5BAD165" w:rsidR="0049405C" w:rsidRPr="00C24D79" w:rsidRDefault="000E71CF" w:rsidP="000E71C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E71CF">
              <w:rPr>
                <w:rFonts w:ascii="等线" w:eastAsia="等线" w:hAnsi="Times New Roman"/>
                <w:color w:val="000000"/>
              </w:rPr>
              <w:t xml:space="preserve">+86 21 2208 1081 </w:t>
            </w:r>
            <w:bookmarkEnd w:id="3"/>
          </w:p>
          <w:p w14:paraId="4F910ACA" w14:textId="2AFFE722" w:rsidR="0049405C" w:rsidRPr="00C24D79" w:rsidRDefault="000E71CF" w:rsidP="000E71C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E71CF">
              <w:rPr>
                <w:rFonts w:ascii="等线" w:eastAsia="等线" w:hAnsi="Times New Roman"/>
                <w:color w:val="000000"/>
              </w:rPr>
              <w:t>tingting.liao@fangdalaw.com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D2D04C5" w:rsidR="0049405C" w:rsidRPr="00C24D79" w:rsidRDefault="000E71C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31CC2ED" wp14:editId="1B1A8CD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652DC38" w:rsidR="009465FB" w:rsidRPr="00C24D79" w:rsidRDefault="000E71C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E71CF">
              <w:rPr>
                <w:rFonts w:ascii="等线" w:eastAsia="等线" w:hAnsi="Times New Roman"/>
                <w:color w:val="000000"/>
                <w:szCs w:val="21"/>
              </w:rPr>
              <w:t>MS. LIAO</w:t>
            </w:r>
            <w:r w:rsidRPr="000E71CF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0E71CF">
              <w:rPr>
                <w:rFonts w:ascii="等线" w:eastAsia="等线" w:hAnsi="Times New Roman"/>
                <w:color w:val="000000"/>
                <w:szCs w:val="21"/>
              </w:rPr>
              <w:t>S PRIMARY PRACTICE AREAS COVER PATENT LITIGATION, PATENT INVALIDATION, TRADE SECRET LITIGATION, AND ANTITRUST LITIGATION.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B1218DC" w14:textId="77777777" w:rsidR="000E71C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2456978" w14:textId="77777777" w:rsidR="000E71CF" w:rsidRDefault="000E71CF" w:rsidP="000E71C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E71CF">
        <w:rPr>
          <w:rFonts w:ascii="等线" w:eastAsia="等线" w:hAnsi="等线"/>
          <w:b/>
          <w:sz w:val="24"/>
        </w:rPr>
        <w:t>REPRESENTATIVE MATTERS AND CASES</w:t>
      </w:r>
    </w:p>
    <w:p w14:paraId="12A65788" w14:textId="77777777" w:rsidR="000E71CF" w:rsidRDefault="000E71CF" w:rsidP="000E71CF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5299894" w14:textId="77777777" w:rsidR="000E71CF" w:rsidRDefault="000E71CF" w:rsidP="000E71C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71CF">
        <w:rPr>
          <w:rFonts w:ascii="等线" w:eastAsia="等线" w:hAnsi="Times New Roman"/>
          <w:color w:val="000000"/>
        </w:rPr>
        <w:t>Represented Valeo in winning its patent infringement litigation against a Chinese competitor before the Shanghai Intellectual Property Court and the associated appellate case before the Intellectual Property Court of the Supreme People</w:t>
      </w:r>
      <w:r w:rsidRPr="000E71CF">
        <w:rPr>
          <w:rFonts w:ascii="等线" w:eastAsia="等线" w:hAnsi="Times New Roman"/>
          <w:color w:val="000000"/>
        </w:rPr>
        <w:t>’</w:t>
      </w:r>
      <w:r w:rsidRPr="000E71CF">
        <w:rPr>
          <w:rFonts w:ascii="等线" w:eastAsia="等线" w:hAnsi="Times New Roman"/>
          <w:color w:val="000000"/>
        </w:rPr>
        <w:t>s Court. This case was the first time a Shanghai court rendered a partial judgment in an intellectual property case and the first-ever public hearing held by the Intellectual Property Court of Supreme People</w:t>
      </w:r>
      <w:r w:rsidRPr="000E71CF">
        <w:rPr>
          <w:rFonts w:ascii="等线" w:eastAsia="等线" w:hAnsi="Times New Roman"/>
          <w:color w:val="000000"/>
        </w:rPr>
        <w:t>’</w:t>
      </w:r>
      <w:r w:rsidRPr="000E71CF">
        <w:rPr>
          <w:rFonts w:ascii="等线" w:eastAsia="等线" w:hAnsi="Times New Roman"/>
          <w:color w:val="000000"/>
        </w:rPr>
        <w:t>s Court. The appellate case was selected as one of the Supreme Court's Top 10 IP Cases in 2019</w:t>
      </w:r>
    </w:p>
    <w:p w14:paraId="2130F8E6" w14:textId="77777777" w:rsidR="000E71CF" w:rsidRDefault="000E71CF" w:rsidP="000E71C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71CF">
        <w:rPr>
          <w:rFonts w:ascii="等线" w:eastAsia="等线" w:hAnsi="Times New Roman"/>
          <w:color w:val="000000"/>
        </w:rPr>
        <w:t>Represented Mobike in winning the patent infringement litigation filed by a Chinese individual before the Shanghai Intellectual Property Court and the associated appellate case before the Shanghai High People</w:t>
      </w:r>
      <w:r w:rsidRPr="000E71CF">
        <w:rPr>
          <w:rFonts w:ascii="等线" w:eastAsia="等线" w:hAnsi="Times New Roman"/>
          <w:color w:val="000000"/>
        </w:rPr>
        <w:t>’</w:t>
      </w:r>
      <w:r w:rsidRPr="000E71CF">
        <w:rPr>
          <w:rFonts w:ascii="等线" w:eastAsia="等线" w:hAnsi="Times New Roman"/>
          <w:color w:val="000000"/>
        </w:rPr>
        <w:t>s Court and the retrial case before the Supreme People</w:t>
      </w:r>
      <w:r w:rsidRPr="000E71CF">
        <w:rPr>
          <w:rFonts w:ascii="等线" w:eastAsia="等线" w:hAnsi="Times New Roman"/>
          <w:color w:val="000000"/>
        </w:rPr>
        <w:t>’</w:t>
      </w:r>
      <w:r w:rsidRPr="000E71CF">
        <w:rPr>
          <w:rFonts w:ascii="等线" w:eastAsia="等线" w:hAnsi="Times New Roman"/>
          <w:color w:val="000000"/>
        </w:rPr>
        <w:t>s Court (Selected as one of the Supreme Court's Top 50 IP Cases in 2018)</w:t>
      </w:r>
    </w:p>
    <w:p w14:paraId="36E8D511" w14:textId="77777777" w:rsidR="000E71CF" w:rsidRDefault="000E71CF" w:rsidP="000E71C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71CF">
        <w:rPr>
          <w:rFonts w:ascii="等线" w:eastAsia="等线" w:hAnsi="Times New Roman"/>
          <w:color w:val="000000"/>
        </w:rPr>
        <w:t>Represented InterDigital in civil litigation over the license of a patent portfolio essential for certain telecommunication standards filed before the Shenzhen Intermediate People</w:t>
      </w:r>
      <w:r w:rsidRPr="000E71CF">
        <w:rPr>
          <w:rFonts w:ascii="等线" w:eastAsia="等线" w:hAnsi="Times New Roman"/>
          <w:color w:val="000000"/>
        </w:rPr>
        <w:t>’</w:t>
      </w:r>
      <w:r w:rsidRPr="000E71CF">
        <w:rPr>
          <w:rFonts w:ascii="等线" w:eastAsia="等线" w:hAnsi="Times New Roman"/>
          <w:color w:val="000000"/>
        </w:rPr>
        <w:t>s Court, the Guangdong High People</w:t>
      </w:r>
      <w:r w:rsidRPr="000E71CF">
        <w:rPr>
          <w:rFonts w:ascii="等线" w:eastAsia="等线" w:hAnsi="Times New Roman"/>
          <w:color w:val="000000"/>
        </w:rPr>
        <w:t>’</w:t>
      </w:r>
      <w:r w:rsidRPr="000E71CF">
        <w:rPr>
          <w:rFonts w:ascii="等线" w:eastAsia="等线" w:hAnsi="Times New Roman"/>
          <w:color w:val="000000"/>
        </w:rPr>
        <w:t>s Court, the Jiangsu High People</w:t>
      </w:r>
      <w:r w:rsidRPr="000E71CF">
        <w:rPr>
          <w:rFonts w:ascii="等线" w:eastAsia="等线" w:hAnsi="Times New Roman"/>
          <w:color w:val="000000"/>
        </w:rPr>
        <w:t>’</w:t>
      </w:r>
      <w:r w:rsidRPr="000E71CF">
        <w:rPr>
          <w:rFonts w:ascii="等线" w:eastAsia="等线" w:hAnsi="Times New Roman"/>
          <w:color w:val="000000"/>
        </w:rPr>
        <w:t>s Court and the Supreme People</w:t>
      </w:r>
      <w:r w:rsidRPr="000E71CF">
        <w:rPr>
          <w:rFonts w:ascii="等线" w:eastAsia="等线" w:hAnsi="Times New Roman"/>
          <w:color w:val="000000"/>
        </w:rPr>
        <w:t>’</w:t>
      </w:r>
      <w:r w:rsidRPr="000E71CF">
        <w:rPr>
          <w:rFonts w:ascii="等线" w:eastAsia="等线" w:hAnsi="Times New Roman"/>
          <w:color w:val="000000"/>
        </w:rPr>
        <w:t>s Court (Selected as one of the Supreme Court's Top 10 IP Cases in 2013)</w:t>
      </w:r>
    </w:p>
    <w:p w14:paraId="17FAE98E" w14:textId="77777777" w:rsidR="000E71CF" w:rsidRDefault="000E71CF" w:rsidP="000E71C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71CF">
        <w:rPr>
          <w:rFonts w:ascii="等线" w:eastAsia="等线" w:hAnsi="Times New Roman"/>
          <w:color w:val="000000"/>
        </w:rPr>
        <w:t>Represented InterDigital in obtaining favorable decisions and judgments to maintain the validity of most of the patents challenged in dozens of patent invalidation proceedings and associated appellate proceedings</w:t>
      </w:r>
    </w:p>
    <w:p w14:paraId="722F1277" w14:textId="77777777" w:rsidR="000E71CF" w:rsidRDefault="000E71CF" w:rsidP="000E71C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71CF">
        <w:rPr>
          <w:rFonts w:ascii="等线" w:eastAsia="等线" w:hAnsi="Times New Roman"/>
          <w:color w:val="000000"/>
        </w:rPr>
        <w:t>Represented Shanghai Dangdang in its retrial petition before the Supreme People</w:t>
      </w:r>
      <w:r w:rsidRPr="000E71CF">
        <w:rPr>
          <w:rFonts w:ascii="等线" w:eastAsia="等线" w:hAnsi="Times New Roman"/>
          <w:color w:val="000000"/>
        </w:rPr>
        <w:t>’</w:t>
      </w:r>
      <w:r w:rsidRPr="000E71CF">
        <w:rPr>
          <w:rFonts w:ascii="等线" w:eastAsia="等线" w:hAnsi="Times New Roman"/>
          <w:color w:val="000000"/>
        </w:rPr>
        <w:t>s Court successfully obtaining a favorable decision overruling lower court decisions in a trade secret case</w:t>
      </w:r>
    </w:p>
    <w:p w14:paraId="003F4C12" w14:textId="77777777" w:rsidR="000E71CF" w:rsidRDefault="000E71CF" w:rsidP="000E71C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71CF">
        <w:rPr>
          <w:rFonts w:ascii="等线" w:eastAsia="等线" w:hAnsi="Times New Roman"/>
          <w:color w:val="000000"/>
        </w:rPr>
        <w:t>Represented Nordson in winning a series of patent infringement litigations against a Chinese competitor before the Shanghai Intellectual Property Court</w:t>
      </w:r>
    </w:p>
    <w:p w14:paraId="36CBC520" w14:textId="77777777" w:rsidR="000E71CF" w:rsidRDefault="000E71CF" w:rsidP="000E71C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71CF">
        <w:rPr>
          <w:rFonts w:ascii="等线" w:eastAsia="等线" w:hAnsi="Times New Roman"/>
          <w:color w:val="000000"/>
        </w:rPr>
        <w:t>Represented Vesuvius in winning a technical trade secret infringement case against former employees and a Chinese competitor</w:t>
      </w:r>
    </w:p>
    <w:p w14:paraId="01E20320" w14:textId="77777777" w:rsidR="000E71CF" w:rsidRDefault="000E71CF" w:rsidP="000E71C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71CF">
        <w:rPr>
          <w:rFonts w:ascii="等线" w:eastAsia="等线" w:hAnsi="Times New Roman"/>
          <w:color w:val="000000"/>
        </w:rPr>
        <w:t>Represented Power Integrations in winning a series of patent infringement cases filed by a Taiwanese company before the Suzhou Intermediate People</w:t>
      </w:r>
      <w:r w:rsidRPr="000E71CF">
        <w:rPr>
          <w:rFonts w:ascii="等线" w:eastAsia="等线" w:hAnsi="Times New Roman"/>
          <w:color w:val="000000"/>
        </w:rPr>
        <w:t>’</w:t>
      </w:r>
      <w:r w:rsidRPr="000E71CF">
        <w:rPr>
          <w:rFonts w:ascii="等线" w:eastAsia="等线" w:hAnsi="Times New Roman"/>
          <w:color w:val="000000"/>
        </w:rPr>
        <w:t>s Court concerning power control devices</w:t>
      </w:r>
    </w:p>
    <w:p w14:paraId="3668CA92" w14:textId="77777777" w:rsidR="000E71CF" w:rsidRDefault="000E71CF" w:rsidP="000E71C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71CF">
        <w:rPr>
          <w:rFonts w:ascii="等线" w:eastAsia="等线" w:hAnsi="Times New Roman"/>
          <w:color w:val="000000"/>
        </w:rPr>
        <w:t>Represented L</w:t>
      </w:r>
      <w:r w:rsidRPr="000E71CF">
        <w:rPr>
          <w:rFonts w:ascii="等线" w:eastAsia="等线" w:hAnsi="Times New Roman"/>
          <w:color w:val="000000"/>
        </w:rPr>
        <w:t>’</w:t>
      </w:r>
      <w:r w:rsidRPr="000E71CF">
        <w:rPr>
          <w:rFonts w:ascii="等线" w:eastAsia="等线" w:hAnsi="Times New Roman"/>
          <w:color w:val="000000"/>
        </w:rPr>
        <w:t>Or</w:t>
      </w:r>
      <w:r w:rsidRPr="000E71CF">
        <w:rPr>
          <w:rFonts w:ascii="等线" w:eastAsia="等线" w:hAnsi="Times New Roman"/>
          <w:color w:val="000000"/>
        </w:rPr>
        <w:t>é</w:t>
      </w:r>
      <w:r w:rsidRPr="000E71CF">
        <w:rPr>
          <w:rFonts w:ascii="等线" w:eastAsia="等线" w:hAnsi="Times New Roman"/>
          <w:color w:val="000000"/>
        </w:rPr>
        <w:t>al in winning a series of patent infringement cases filed against several Chinese companies before the Shanghai No. 1 Intermediate People</w:t>
      </w:r>
      <w:r w:rsidRPr="000E71CF">
        <w:rPr>
          <w:rFonts w:ascii="等线" w:eastAsia="等线" w:hAnsi="Times New Roman"/>
          <w:color w:val="000000"/>
        </w:rPr>
        <w:t>’</w:t>
      </w:r>
      <w:r w:rsidRPr="000E71CF">
        <w:rPr>
          <w:rFonts w:ascii="等线" w:eastAsia="等线" w:hAnsi="Times New Roman"/>
          <w:color w:val="000000"/>
        </w:rPr>
        <w:t>s Court and the Ningbo Intermediate People</w:t>
      </w:r>
      <w:r w:rsidRPr="000E71CF">
        <w:rPr>
          <w:rFonts w:ascii="等线" w:eastAsia="等线" w:hAnsi="Times New Roman"/>
          <w:color w:val="000000"/>
        </w:rPr>
        <w:t>’</w:t>
      </w:r>
      <w:r w:rsidRPr="000E71CF">
        <w:rPr>
          <w:rFonts w:ascii="等线" w:eastAsia="等线" w:hAnsi="Times New Roman"/>
          <w:color w:val="000000"/>
        </w:rPr>
        <w:t>s Court</w:t>
      </w:r>
    </w:p>
    <w:p w14:paraId="305B0DD8" w14:textId="77777777" w:rsidR="000E71CF" w:rsidRDefault="000E71CF" w:rsidP="000E71C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71CF">
        <w:rPr>
          <w:rFonts w:ascii="等线" w:eastAsia="等线" w:hAnsi="Times New Roman"/>
          <w:color w:val="000000"/>
        </w:rPr>
        <w:t>Represented GN Netcom in winning a patent infringement case and a declaratory judgment lawsuit of non-infringement brought against a Chinese competitor before the Ningbo Intermediate People</w:t>
      </w:r>
      <w:r w:rsidRPr="000E71CF">
        <w:rPr>
          <w:rFonts w:ascii="等线" w:eastAsia="等线" w:hAnsi="Times New Roman"/>
          <w:color w:val="000000"/>
        </w:rPr>
        <w:t>’</w:t>
      </w:r>
      <w:r w:rsidRPr="000E71CF">
        <w:rPr>
          <w:rFonts w:ascii="等线" w:eastAsia="等线" w:hAnsi="Times New Roman"/>
          <w:color w:val="000000"/>
        </w:rPr>
        <w:t>s Court</w:t>
      </w:r>
    </w:p>
    <w:p w14:paraId="7146797D" w14:textId="77777777" w:rsidR="000E71CF" w:rsidRDefault="000E71CF" w:rsidP="000E71C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71CF">
        <w:rPr>
          <w:rFonts w:ascii="等线" w:eastAsia="等线" w:hAnsi="Times New Roman"/>
          <w:color w:val="000000"/>
        </w:rPr>
        <w:t>Represented Novartis in successfully settling a trade secret misappropriation case brought against its former employee before the Suzhou Intermediate People</w:t>
      </w:r>
      <w:r w:rsidRPr="000E71CF">
        <w:rPr>
          <w:rFonts w:ascii="等线" w:eastAsia="等线" w:hAnsi="Times New Roman"/>
          <w:color w:val="000000"/>
        </w:rPr>
        <w:t>’</w:t>
      </w:r>
      <w:r w:rsidRPr="000E71CF">
        <w:rPr>
          <w:rFonts w:ascii="等线" w:eastAsia="等线" w:hAnsi="Times New Roman"/>
          <w:color w:val="000000"/>
        </w:rPr>
        <w:t>s Court</w:t>
      </w:r>
    </w:p>
    <w:p w14:paraId="6C420261" w14:textId="77777777" w:rsidR="000E71CF" w:rsidRDefault="000E71CF" w:rsidP="000E71C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71CF">
        <w:rPr>
          <w:rFonts w:ascii="等线" w:eastAsia="等线" w:hAnsi="Times New Roman"/>
          <w:color w:val="000000"/>
        </w:rPr>
        <w:t>Advised numerous clients in transactions involving acquisition, assignment or use of rights in technology, brands, patents, copyrights and other forms of IP</w:t>
      </w:r>
    </w:p>
    <w:p w14:paraId="5EEFF50E" w14:textId="77777777" w:rsidR="000E71CF" w:rsidRDefault="000E71CF" w:rsidP="000E71C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E71CF">
        <w:rPr>
          <w:rFonts w:ascii="等线" w:eastAsia="等线" w:hAnsi="等线"/>
          <w:b/>
          <w:sz w:val="24"/>
        </w:rPr>
        <w:t>Education</w:t>
      </w:r>
    </w:p>
    <w:p w14:paraId="68199641" w14:textId="77777777" w:rsidR="000E71CF" w:rsidRDefault="000E71CF" w:rsidP="000E71C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71CF">
        <w:rPr>
          <w:rFonts w:ascii="等线" w:eastAsia="等线" w:hAnsi="Times New Roman"/>
          <w:color w:val="000000"/>
        </w:rPr>
        <w:t>Peking University, School of Law, LL.M</w:t>
      </w:r>
    </w:p>
    <w:p w14:paraId="36E548E3" w14:textId="77777777" w:rsidR="000E71CF" w:rsidRDefault="000E71CF" w:rsidP="000E71C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71CF">
        <w:rPr>
          <w:rFonts w:ascii="等线" w:eastAsia="等线" w:hAnsi="Times New Roman"/>
          <w:color w:val="000000"/>
        </w:rPr>
        <w:t>Northwestern Polytechnical University, Engineering Mechanics, B.E.</w:t>
      </w:r>
    </w:p>
    <w:p w14:paraId="5A072666" w14:textId="77777777" w:rsidR="000E71CF" w:rsidRDefault="000E71CF" w:rsidP="000E71C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E71CF">
        <w:rPr>
          <w:rFonts w:ascii="等线" w:eastAsia="等线" w:hAnsi="等线"/>
          <w:b/>
          <w:sz w:val="24"/>
        </w:rPr>
        <w:t>Professional Qualification</w:t>
      </w:r>
    </w:p>
    <w:p w14:paraId="186CE0EE" w14:textId="77777777" w:rsidR="000E71CF" w:rsidRDefault="000E71CF" w:rsidP="000E71C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71CF">
        <w:rPr>
          <w:rFonts w:ascii="等线" w:eastAsia="等线" w:hAnsi="Times New Roman"/>
          <w:color w:val="000000"/>
        </w:rPr>
        <w:t>Admitted to practice in the PRC</w:t>
      </w:r>
    </w:p>
    <w:p w14:paraId="02A772B5" w14:textId="77777777" w:rsidR="000E71CF" w:rsidRDefault="000E71CF" w:rsidP="000E71C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71CF">
        <w:rPr>
          <w:rFonts w:ascii="等线" w:eastAsia="等线" w:hAnsi="Times New Roman"/>
          <w:color w:val="000000"/>
        </w:rPr>
        <w:t>Admitted to practice before the SIPO</w:t>
      </w:r>
    </w:p>
    <w:p w14:paraId="043D569E" w14:textId="77777777" w:rsidR="000E71CF" w:rsidRDefault="000E71CF" w:rsidP="000E71C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E71CF">
        <w:rPr>
          <w:rFonts w:ascii="等线" w:eastAsia="等线" w:hAnsi="等线"/>
          <w:b/>
          <w:sz w:val="24"/>
        </w:rPr>
        <w:t>Work Language</w:t>
      </w:r>
    </w:p>
    <w:p w14:paraId="31D1BE60" w14:textId="77777777" w:rsidR="000E71CF" w:rsidRDefault="000E71CF" w:rsidP="000E71C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71CF">
        <w:rPr>
          <w:rFonts w:ascii="等线" w:eastAsia="等线" w:hAnsi="Times New Roman"/>
          <w:color w:val="000000"/>
        </w:rPr>
        <w:t>Chinese</w:t>
      </w:r>
    </w:p>
    <w:p w14:paraId="5567FC3C" w14:textId="568137A0" w:rsidR="00686369" w:rsidRPr="000E71CF" w:rsidRDefault="000E71CF" w:rsidP="000E71C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71CF">
        <w:rPr>
          <w:rFonts w:ascii="等线" w:eastAsia="等线" w:hAnsi="Times New Roman"/>
          <w:color w:val="000000"/>
        </w:rPr>
        <w:t>English</w:t>
      </w:r>
    </w:p>
    <w:sectPr w:rsidR="00686369" w:rsidRPr="000E71C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D6389"/>
    <w:multiLevelType w:val="singleLevel"/>
    <w:tmpl w:val="7F3A49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74606A6"/>
    <w:multiLevelType w:val="singleLevel"/>
    <w:tmpl w:val="28CEDB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98B3021"/>
    <w:multiLevelType w:val="singleLevel"/>
    <w:tmpl w:val="D5B8A6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09B1009"/>
    <w:multiLevelType w:val="singleLevel"/>
    <w:tmpl w:val="016603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9542B69"/>
    <w:multiLevelType w:val="singleLevel"/>
    <w:tmpl w:val="B09250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B884716"/>
    <w:multiLevelType w:val="singleLevel"/>
    <w:tmpl w:val="6C7E90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D973D08"/>
    <w:multiLevelType w:val="singleLevel"/>
    <w:tmpl w:val="E4900C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69D6180"/>
    <w:multiLevelType w:val="singleLevel"/>
    <w:tmpl w:val="45009C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6BA43E6"/>
    <w:multiLevelType w:val="singleLevel"/>
    <w:tmpl w:val="B2FE42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D0C3CD2"/>
    <w:multiLevelType w:val="singleLevel"/>
    <w:tmpl w:val="364A01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C646060"/>
    <w:multiLevelType w:val="singleLevel"/>
    <w:tmpl w:val="5986BA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FB8005B"/>
    <w:multiLevelType w:val="singleLevel"/>
    <w:tmpl w:val="CC1871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62A5812"/>
    <w:multiLevelType w:val="singleLevel"/>
    <w:tmpl w:val="AF524B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0561607"/>
    <w:multiLevelType w:val="singleLevel"/>
    <w:tmpl w:val="6C7E90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82F1CF7"/>
    <w:multiLevelType w:val="singleLevel"/>
    <w:tmpl w:val="7DC678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BC0005D"/>
    <w:multiLevelType w:val="singleLevel"/>
    <w:tmpl w:val="469667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D4F4552"/>
    <w:multiLevelType w:val="singleLevel"/>
    <w:tmpl w:val="BC361D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56B6D2F"/>
    <w:multiLevelType w:val="singleLevel"/>
    <w:tmpl w:val="DD8E40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F8D2A52"/>
    <w:multiLevelType w:val="singleLevel"/>
    <w:tmpl w:val="500429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16"/>
  </w:num>
  <w:num w:numId="4">
    <w:abstractNumId w:val="0"/>
  </w:num>
  <w:num w:numId="5">
    <w:abstractNumId w:val="12"/>
  </w:num>
  <w:num w:numId="6">
    <w:abstractNumId w:val="8"/>
  </w:num>
  <w:num w:numId="7">
    <w:abstractNumId w:val="19"/>
  </w:num>
  <w:num w:numId="8">
    <w:abstractNumId w:val="18"/>
  </w:num>
  <w:num w:numId="9">
    <w:abstractNumId w:val="14"/>
  </w:num>
  <w:num w:numId="10">
    <w:abstractNumId w:val="3"/>
  </w:num>
  <w:num w:numId="11">
    <w:abstractNumId w:val="11"/>
  </w:num>
  <w:num w:numId="12">
    <w:abstractNumId w:val="13"/>
  </w:num>
  <w:num w:numId="13">
    <w:abstractNumId w:val="1"/>
  </w:num>
  <w:num w:numId="14">
    <w:abstractNumId w:val="2"/>
  </w:num>
  <w:num w:numId="15">
    <w:abstractNumId w:val="20"/>
  </w:num>
  <w:num w:numId="16">
    <w:abstractNumId w:val="9"/>
  </w:num>
  <w:num w:numId="17">
    <w:abstractNumId w:val="6"/>
  </w:num>
  <w:num w:numId="18">
    <w:abstractNumId w:val="4"/>
  </w:num>
  <w:num w:numId="19">
    <w:abstractNumId w:val="17"/>
  </w:num>
  <w:num w:numId="20">
    <w:abstractNumId w:val="15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0E71CF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E71C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E71C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576B37F-1181-46E5-B69F-3B6E0F833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497</Words>
  <Characters>2833</Characters>
  <Application>Microsoft Office Word</Application>
  <DocSecurity>0</DocSecurity>
  <Lines>23</Lines>
  <Paragraphs>6</Paragraphs>
  <ScaleCrop>false</ScaleCrop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2026-05-16T23:42:00Z</dcterms:created>
  <dcterms:modified xsi:type="dcterms:W3CDTF">2026-05-16T23:42:00Z</dcterms:modified>
</cp:coreProperties>
</file>