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D609F3" w:rsidR="0049405C" w:rsidRPr="00C24D79" w:rsidRDefault="00142E9C" w:rsidP="00142E9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42E9C">
              <w:rPr>
                <w:rFonts w:ascii="等线" w:eastAsia="等线" w:hAnsi="Times New Roman"/>
                <w:b/>
                <w:color w:val="000000"/>
                <w:sz w:val="48"/>
              </w:rPr>
              <w:t>STANLEY CHEN</w:t>
            </w:r>
            <w:bookmarkEnd w:id="0"/>
          </w:p>
          <w:p w14:paraId="706EB16B" w14:textId="044884D9" w:rsidR="0049405C" w:rsidRPr="00C24D79" w:rsidRDefault="00142E9C" w:rsidP="00142E9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42E9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42E9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42E9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D1D3CF0" w:rsidR="0049405C" w:rsidRPr="00C24D79" w:rsidRDefault="00142E9C" w:rsidP="00142E9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42E9C">
              <w:rPr>
                <w:rFonts w:ascii="等线" w:eastAsia="等线" w:hAnsi="Times New Roman"/>
                <w:color w:val="000000"/>
              </w:rPr>
              <w:t xml:space="preserve">+86 21 2208 1093 </w:t>
            </w:r>
            <w:bookmarkEnd w:id="3"/>
          </w:p>
          <w:p w14:paraId="4F910ACA" w14:textId="15B7C7AA" w:rsidR="0049405C" w:rsidRPr="00C24D79" w:rsidRDefault="00142E9C" w:rsidP="00142E9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42E9C">
              <w:rPr>
                <w:rFonts w:ascii="等线" w:eastAsia="等线" w:hAnsi="Times New Roman"/>
                <w:color w:val="000000"/>
              </w:rPr>
              <w:t>schen@fangdalaw.com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AD4081C" w:rsidR="0049405C" w:rsidRPr="00C24D79" w:rsidRDefault="00142E9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348035F" wp14:editId="6D492C3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6737DA1" w:rsidR="009465FB" w:rsidRPr="00C24D79" w:rsidRDefault="00142E9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42E9C">
              <w:rPr>
                <w:rFonts w:ascii="等线" w:eastAsia="等线" w:hAnsi="Times New Roman"/>
                <w:color w:val="000000"/>
                <w:szCs w:val="21"/>
              </w:rPr>
              <w:t>ACQUISITION FINANCE AND PROJECT FINANCE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89CC6F1" w14:textId="77777777" w:rsidR="00142E9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D8CCF07" w14:textId="77777777" w:rsidR="00142E9C" w:rsidRDefault="00142E9C" w:rsidP="00142E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42E9C">
        <w:rPr>
          <w:rFonts w:ascii="等线" w:eastAsia="等线" w:hAnsi="等线"/>
          <w:b/>
          <w:sz w:val="24"/>
        </w:rPr>
        <w:t>REPRESENTATIVE MATTERS AND CASES</w:t>
      </w:r>
    </w:p>
    <w:p w14:paraId="48405B30" w14:textId="77777777" w:rsidR="00142E9C" w:rsidRDefault="00142E9C" w:rsidP="00142E9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B907CC7" w14:textId="77777777" w:rsidR="00142E9C" w:rsidRDefault="00142E9C" w:rsidP="00142E9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>Represented syndicate lenders led by China Merchant Bank in a term loan provided to Hillhouse for acquisition of 15% shares of Gree Electric Appliances, Inc.</w:t>
      </w:r>
    </w:p>
    <w:p w14:paraId="3DD0A955" w14:textId="77777777" w:rsidR="00142E9C" w:rsidRDefault="00142E9C" w:rsidP="00142E9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>Represented acquisition vehicles controlled by Boyu Capital, Ally Bridge, Temasek and Ping An Insurance in a syndicate loan for merger and privatization of WuXi PharmaTech (Cayman) Inc. (NYSE: WX)</w:t>
      </w:r>
    </w:p>
    <w:p w14:paraId="0267D96B" w14:textId="77777777" w:rsidR="00142E9C" w:rsidRDefault="00142E9C" w:rsidP="00142E9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>Represented syndicate lenders in a loan to a consortium consisting of Carlyle Asia Partners, FountainVest, CITIC Capital and China Everbright Structured Investment Holdings for the privatization of Focus Media Holding Limited</w:t>
      </w:r>
    </w:p>
    <w:p w14:paraId="5C8B3241" w14:textId="77777777" w:rsidR="00142E9C" w:rsidRDefault="00142E9C" w:rsidP="00142E9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>Represented the founders of Mindray Medical International Limited in the leveraged financing granted by Bank of China and Ping An Bank for privatization of Mindray Medical International Limited</w:t>
      </w:r>
    </w:p>
    <w:p w14:paraId="39AFAD80" w14:textId="77777777" w:rsidR="00142E9C" w:rsidRDefault="00142E9C" w:rsidP="00142E9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>Represented Ping An Bank in a term loan facility granted to China Neptunus Drugstore Holding Ltd. for acquisition of all the shares of China Nepstar Chain Drugstore Ltd. through a single-step merger with China Nepstar Chain Drugstore Ltd.</w:t>
      </w:r>
    </w:p>
    <w:p w14:paraId="34055CF7" w14:textId="77777777" w:rsidR="00142E9C" w:rsidRDefault="00142E9C" w:rsidP="00142E9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>Represented the syndicate led by several top Chinese banks in the loan facilities comprising long-term and working capital facilities advanced to Fujian Refining &amp; Petrochemical Company Limited, a joint venture of Fujian Petrochemical and Refining Company (an affiliate of Sinopec), ExxonMobil and Saudi Aramco, for its refinery and ethylene expansion project in Quanzhou, Fujian Province</w:t>
      </w:r>
    </w:p>
    <w:p w14:paraId="42745F3A" w14:textId="77777777" w:rsidR="00142E9C" w:rsidRDefault="00142E9C" w:rsidP="00142E9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>Represented the syndicated lenders arranged by Bank of China in a syndicated loan granted to joint venture project companies established by HKR International and Swire Properties for development of HKRI Taikoo Hui</w:t>
      </w:r>
    </w:p>
    <w:p w14:paraId="6314ACDD" w14:textId="77777777" w:rsidR="00142E9C" w:rsidRDefault="00142E9C" w:rsidP="00142E9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>Represented China Development Bank Corporation in a loan to Chengdu Tianqi Industry (Group) Co., Ltd. for acquisition of Talison Lithium Limited, the largest Lithium supplier in Australia</w:t>
      </w:r>
    </w:p>
    <w:p w14:paraId="1D73C236" w14:textId="77777777" w:rsidR="00142E9C" w:rsidRDefault="00142E9C" w:rsidP="00142E9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>Provided annual retainer services for a number of prominent domestic and foreign banks, such as JPMorgan Chase Bank, Citibank, DBS Bank Ltd., DNB Bank, Bank of China and China Construction Bank</w:t>
      </w:r>
    </w:p>
    <w:p w14:paraId="2B99A8DF" w14:textId="77777777" w:rsidR="00142E9C" w:rsidRDefault="00142E9C" w:rsidP="00142E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42E9C">
        <w:rPr>
          <w:rFonts w:ascii="等线" w:eastAsia="等线" w:hAnsi="等线"/>
          <w:b/>
          <w:sz w:val="24"/>
        </w:rPr>
        <w:t>Education</w:t>
      </w:r>
    </w:p>
    <w:p w14:paraId="6B43D148" w14:textId="77777777" w:rsidR="00142E9C" w:rsidRDefault="00142E9C" w:rsidP="00142E9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>Fudan University, School of Law, LL.B.</w:t>
      </w:r>
    </w:p>
    <w:p w14:paraId="0E29C45B" w14:textId="77777777" w:rsidR="00142E9C" w:rsidRDefault="00142E9C" w:rsidP="00142E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42E9C">
        <w:rPr>
          <w:rFonts w:ascii="等线" w:eastAsia="等线" w:hAnsi="等线"/>
          <w:b/>
          <w:sz w:val="24"/>
        </w:rPr>
        <w:t>Professional Qualification</w:t>
      </w:r>
    </w:p>
    <w:p w14:paraId="700F6F60" w14:textId="77777777" w:rsidR="00142E9C" w:rsidRDefault="00142E9C" w:rsidP="00142E9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>Admitted to practice in the PRC</w:t>
      </w:r>
    </w:p>
    <w:p w14:paraId="4AC589CE" w14:textId="77777777" w:rsidR="00142E9C" w:rsidRDefault="00142E9C" w:rsidP="00142E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42E9C">
        <w:rPr>
          <w:rFonts w:ascii="等线" w:eastAsia="等线" w:hAnsi="等线"/>
          <w:b/>
          <w:sz w:val="24"/>
        </w:rPr>
        <w:t>OTHER INFORMATION</w:t>
      </w:r>
    </w:p>
    <w:p w14:paraId="3334E71C" w14:textId="77777777" w:rsidR="00142E9C" w:rsidRDefault="00142E9C" w:rsidP="00142E9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42E9C">
        <w:rPr>
          <w:rFonts w:ascii="等线" w:eastAsia="等线" w:hAnsi="等线"/>
          <w:b/>
          <w:sz w:val="24"/>
        </w:rPr>
        <w:t>Honors and Awards</w:t>
      </w:r>
    </w:p>
    <w:p w14:paraId="3CAAC6BE" w14:textId="77777777" w:rsidR="00142E9C" w:rsidRDefault="00142E9C" w:rsidP="00142E9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 xml:space="preserve">Recommended by Chambers &amp; Partners as a leading individual in the banking and finance sector (2015 to 2020) </w:t>
      </w:r>
    </w:p>
    <w:p w14:paraId="4C07785A" w14:textId="77777777" w:rsidR="00142E9C" w:rsidRDefault="00142E9C" w:rsidP="00142E9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 xml:space="preserve">Recommended by International Financial Law Review (IFLR) as a leading individual in the banking and finance sector (2013 to 2020) </w:t>
      </w:r>
    </w:p>
    <w:p w14:paraId="722BEC32" w14:textId="77777777" w:rsidR="00142E9C" w:rsidRDefault="00142E9C" w:rsidP="00142E9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 xml:space="preserve">Awarded by Asian Legal Business as ALB Client Choice (2017) </w:t>
      </w:r>
    </w:p>
    <w:p w14:paraId="5567FC3C" w14:textId="221B7858" w:rsidR="00686369" w:rsidRPr="00142E9C" w:rsidRDefault="00142E9C" w:rsidP="00142E9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42E9C">
        <w:rPr>
          <w:rFonts w:ascii="等线" w:eastAsia="等线" w:hAnsi="Times New Roman"/>
          <w:color w:val="000000"/>
        </w:rPr>
        <w:t xml:space="preserve">Recommended by Asialaw Leading Lawyers as a leading individual in the banking and finance sector (2013, 2014 and 2015) </w:t>
      </w:r>
    </w:p>
    <w:sectPr w:rsidR="00686369" w:rsidRPr="00142E9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F651D"/>
    <w:multiLevelType w:val="singleLevel"/>
    <w:tmpl w:val="6614A7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E27B5F"/>
    <w:multiLevelType w:val="singleLevel"/>
    <w:tmpl w:val="38FCA6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AD7579"/>
    <w:multiLevelType w:val="singleLevel"/>
    <w:tmpl w:val="580422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1611EF"/>
    <w:multiLevelType w:val="singleLevel"/>
    <w:tmpl w:val="B7FA65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F2163F"/>
    <w:multiLevelType w:val="singleLevel"/>
    <w:tmpl w:val="1004CA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0B0D8B"/>
    <w:multiLevelType w:val="singleLevel"/>
    <w:tmpl w:val="25C8CE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ED465E"/>
    <w:multiLevelType w:val="singleLevel"/>
    <w:tmpl w:val="EE1674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18668F"/>
    <w:multiLevelType w:val="singleLevel"/>
    <w:tmpl w:val="B784E8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5E936BF5"/>
    <w:multiLevelType w:val="singleLevel"/>
    <w:tmpl w:val="41724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02D7A8F"/>
    <w:multiLevelType w:val="singleLevel"/>
    <w:tmpl w:val="870E9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0C93B0A"/>
    <w:multiLevelType w:val="singleLevel"/>
    <w:tmpl w:val="1C346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FFB48FF"/>
    <w:multiLevelType w:val="singleLevel"/>
    <w:tmpl w:val="D5B62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4720FF5"/>
    <w:multiLevelType w:val="singleLevel"/>
    <w:tmpl w:val="A97C78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4761B7B"/>
    <w:multiLevelType w:val="singleLevel"/>
    <w:tmpl w:val="25C8CE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5A637DD"/>
    <w:multiLevelType w:val="singleLevel"/>
    <w:tmpl w:val="CFEC4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AF974A7"/>
    <w:multiLevelType w:val="singleLevel"/>
    <w:tmpl w:val="65223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11"/>
  </w:num>
  <w:num w:numId="5">
    <w:abstractNumId w:val="13"/>
  </w:num>
  <w:num w:numId="6">
    <w:abstractNumId w:val="2"/>
  </w:num>
  <w:num w:numId="7">
    <w:abstractNumId w:val="4"/>
  </w:num>
  <w:num w:numId="8">
    <w:abstractNumId w:val="7"/>
  </w:num>
  <w:num w:numId="9">
    <w:abstractNumId w:val="14"/>
  </w:num>
  <w:num w:numId="10">
    <w:abstractNumId w:val="1"/>
  </w:num>
  <w:num w:numId="11">
    <w:abstractNumId w:val="17"/>
  </w:num>
  <w:num w:numId="12">
    <w:abstractNumId w:val="3"/>
  </w:num>
  <w:num w:numId="13">
    <w:abstractNumId w:val="12"/>
  </w:num>
  <w:num w:numId="14">
    <w:abstractNumId w:val="10"/>
  </w:num>
  <w:num w:numId="15">
    <w:abstractNumId w:val="16"/>
  </w:num>
  <w:num w:numId="16">
    <w:abstractNumId w:val="6"/>
  </w:num>
  <w:num w:numId="17">
    <w:abstractNumId w:val="5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42E9C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42E9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42E9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FDB9B8-B2E2-45D7-BCB8-CF66B2199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2026-09-18T00:57:00Z</dcterms:created>
  <dcterms:modified xsi:type="dcterms:W3CDTF">2026-09-18T00:57:00Z</dcterms:modified>
</cp:coreProperties>
</file>