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4FA70DBA" w:rsidR="0049405C" w:rsidRPr="00C24D79" w:rsidRDefault="001E7BA5" w:rsidP="001E7BA5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1E7BA5">
              <w:rPr>
                <w:rFonts w:ascii="等线" w:eastAsia="等线" w:hAnsi="Times New Roman"/>
                <w:b/>
                <w:color w:val="000000"/>
                <w:sz w:val="48"/>
              </w:rPr>
              <w:t>RAYMOND CHAN</w:t>
            </w:r>
            <w:bookmarkEnd w:id="0"/>
          </w:p>
          <w:p w14:paraId="706EB16B" w14:textId="56C66C57" w:rsidR="0049405C" w:rsidRPr="00C24D79" w:rsidRDefault="001E7BA5" w:rsidP="001E7BA5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1E7BA5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1E7BA5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1E7BA5">
              <w:rPr>
                <w:rFonts w:ascii="等线" w:eastAsia="等线" w:hAnsi="Times New Roman"/>
                <w:b/>
                <w:bCs/>
                <w:color w:val="000000"/>
              </w:rPr>
              <w:t>Hong Kong</w:t>
            </w:r>
            <w:bookmarkEnd w:id="2"/>
          </w:p>
          <w:p w14:paraId="6199424A" w14:textId="1537394C" w:rsidR="0049405C" w:rsidRPr="00C24D79" w:rsidRDefault="001E7BA5" w:rsidP="001E7BA5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1E7BA5">
              <w:rPr>
                <w:rFonts w:ascii="等线" w:eastAsia="等线" w:hAnsi="Times New Roman"/>
                <w:color w:val="000000"/>
              </w:rPr>
              <w:t xml:space="preserve">+852 3976 8817 </w:t>
            </w:r>
            <w:bookmarkEnd w:id="3"/>
          </w:p>
          <w:p w14:paraId="4F910ACA" w14:textId="029DDD79" w:rsidR="0049405C" w:rsidRPr="00C24D79" w:rsidRDefault="001E7BA5" w:rsidP="001E7BA5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1E7BA5">
              <w:rPr>
                <w:rFonts w:ascii="等线" w:eastAsia="等线" w:hAnsi="Times New Roman"/>
                <w:color w:val="000000"/>
              </w:rPr>
              <w:t>raymond.chan@fangdalaw.com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65FE2E13" w:rsidR="0049405C" w:rsidRPr="00C24D79" w:rsidRDefault="001E7BA5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633A6C90" wp14:editId="2979EAAE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7D461BA8" w:rsidR="009465FB" w:rsidRPr="00C24D79" w:rsidRDefault="001E7BA5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1E7BA5">
              <w:rPr>
                <w:rFonts w:ascii="等线" w:eastAsia="等线" w:hAnsi="Times New Roman"/>
                <w:color w:val="000000"/>
                <w:szCs w:val="21"/>
              </w:rPr>
              <w:t>MR. CHAN IS A PARTNER BASED IN THE HONG KONG OFFICE.  MR. CHAN HAS EXTENSIVE EXPERIENCE IN CROSS-BORDER M&amp;A, PRIVATE EQUITY AND VENTURE CAPITAL TRANSACTIONS.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64B6BB9B" w14:textId="77777777" w:rsidR="001E7BA5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0E6623FF" w14:textId="77777777" w:rsidR="001E7BA5" w:rsidRDefault="001E7BA5" w:rsidP="001E7BA5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1E7BA5">
        <w:rPr>
          <w:rFonts w:ascii="等线" w:eastAsia="等线" w:hAnsi="等线"/>
          <w:b/>
          <w:sz w:val="24"/>
        </w:rPr>
        <w:t>REPRESENTATIVE MATTERS AND CASES</w:t>
      </w:r>
    </w:p>
    <w:p w14:paraId="5E7FC544" w14:textId="77777777" w:rsidR="001E7BA5" w:rsidRDefault="001E7BA5" w:rsidP="001E7BA5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3E84F061" w14:textId="77777777" w:rsidR="001E7BA5" w:rsidRDefault="001E7BA5" w:rsidP="001E7BA5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E7BA5">
        <w:rPr>
          <w:rFonts w:ascii="等线" w:eastAsia="等线" w:hAnsi="Times New Roman"/>
          <w:color w:val="000000"/>
        </w:rPr>
        <w:t>Acted for Alibaba Group Holding Limited (NYSE BABA; SEHK 9988) in its RMB 15 billion strategic investment in Focus Media Information Technology Co. Ltd (SZSE 002027), one of the largest digital advertising agencies in China and a pioneer in elevator media</w:t>
      </w:r>
    </w:p>
    <w:p w14:paraId="0658EE84" w14:textId="77777777" w:rsidR="001E7BA5" w:rsidRDefault="001E7BA5" w:rsidP="001E7BA5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E7BA5">
        <w:rPr>
          <w:rFonts w:ascii="等线" w:eastAsia="等线" w:hAnsi="Times New Roman"/>
          <w:color w:val="000000"/>
        </w:rPr>
        <w:t>Acted for a consortium of investors formed by the CEO of Clear Media Limited, Ant Financial, JCDecaux and China Wealth Growth Fund III L.P. in a HK$3.857 million voluntary conditional cash offer to acquire all of the shares in Clear Media Limited (SEHK 100), the largest operator of bus shelter advertising panels in China</w:t>
      </w:r>
    </w:p>
    <w:p w14:paraId="47F2A592" w14:textId="77777777" w:rsidR="001E7BA5" w:rsidRDefault="001E7BA5" w:rsidP="001E7BA5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E7BA5">
        <w:rPr>
          <w:rFonts w:ascii="等线" w:eastAsia="等线" w:hAnsi="Times New Roman"/>
          <w:color w:val="000000"/>
        </w:rPr>
        <w:t>Acted for PAG in its acquisition of the controlling stake in Zhenai.com, the largest online matchmaking and dating services provider in China</w:t>
      </w:r>
    </w:p>
    <w:p w14:paraId="21DC1DD2" w14:textId="77777777" w:rsidR="001E7BA5" w:rsidRDefault="001E7BA5" w:rsidP="001E7BA5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E7BA5">
        <w:rPr>
          <w:rFonts w:ascii="等线" w:eastAsia="等线" w:hAnsi="Times New Roman"/>
          <w:color w:val="000000"/>
        </w:rPr>
        <w:t>Acted for Alibaba Pictures Group Limited (SEHK 1060) in its RMB 1 billion subscription of convertible and exchangeable bonds in Dadi Cinema, the second largest theatre chain in China and a subsidiary of Nan Hai Corporation Limited (SEHK 0680)</w:t>
      </w:r>
    </w:p>
    <w:p w14:paraId="7B3E4C4D" w14:textId="77777777" w:rsidR="001E7BA5" w:rsidRDefault="001E7BA5" w:rsidP="001E7BA5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E7BA5">
        <w:rPr>
          <w:rFonts w:ascii="等线" w:eastAsia="等线" w:hAnsi="Times New Roman"/>
          <w:color w:val="000000"/>
        </w:rPr>
        <w:t>Acted for Alibaba Group Holding Limited (NYSE BABA; SEHK 9988) in its RMB 1.6 billion strategic investment in the automotive aftermarket space by setting up a joint venture company with Jiangsu Carzone Autoparts Co., Ltd., a leading autoparts supply chain service provider, Qiche Chaoren, a leading automotive maintenance platform wholly owned by Zhejiang Jingu Co Ltd (SZSE 002027), and other financial investors such as Warburg Pincus, Yunfeng Capital and PAG</w:t>
      </w:r>
    </w:p>
    <w:p w14:paraId="4255579E" w14:textId="77777777" w:rsidR="001E7BA5" w:rsidRDefault="001E7BA5" w:rsidP="001E7BA5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E7BA5">
        <w:rPr>
          <w:rFonts w:ascii="等线" w:eastAsia="等线" w:hAnsi="Times New Roman"/>
          <w:color w:val="000000"/>
        </w:rPr>
        <w:t>Acted for Manulife in its pre-IPO investment in a leading online medical platform in China</w:t>
      </w:r>
    </w:p>
    <w:p w14:paraId="64E60E11" w14:textId="77777777" w:rsidR="001E7BA5" w:rsidRDefault="001E7BA5" w:rsidP="001E7BA5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E7BA5">
        <w:rPr>
          <w:rFonts w:ascii="等线" w:eastAsia="等线" w:hAnsi="Times New Roman"/>
          <w:color w:val="000000"/>
        </w:rPr>
        <w:t>Acted for Gaw Capital in its joint venture with China SCE Property Holdings Ltd (SEHK 1966) to establish a long-term rental apartment investment platform in China with an initial commitment of US$800 million</w:t>
      </w:r>
    </w:p>
    <w:p w14:paraId="787C420B" w14:textId="77777777" w:rsidR="001E7BA5" w:rsidRDefault="001E7BA5" w:rsidP="001E7BA5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E7BA5">
        <w:rPr>
          <w:rFonts w:ascii="等线" w:eastAsia="等线" w:hAnsi="Times New Roman"/>
          <w:color w:val="000000"/>
        </w:rPr>
        <w:t>Acted for Alibaba Hong Kong Entrepreneurs Fund in its joint venture with Sensetime and the Hong Kong Science and Technology Park to set up the HKAI Lab, a platform focused on empowering startups in Hong Kong to develop and commercialise their AI inventions and technologies</w:t>
      </w:r>
    </w:p>
    <w:p w14:paraId="49C7476B" w14:textId="77777777" w:rsidR="001E7BA5" w:rsidRDefault="001E7BA5" w:rsidP="001E7BA5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E7BA5">
        <w:rPr>
          <w:rFonts w:ascii="等线" w:eastAsia="等线" w:hAnsi="Times New Roman"/>
          <w:color w:val="000000"/>
        </w:rPr>
        <w:t>Acted for Philips in its disposal of a water purifier business in Greater China to Deerma, a leading household appliance brand in China</w:t>
      </w:r>
    </w:p>
    <w:p w14:paraId="17A34E4C" w14:textId="77777777" w:rsidR="001E7BA5" w:rsidRDefault="001E7BA5" w:rsidP="001E7BA5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E7BA5">
        <w:rPr>
          <w:rFonts w:ascii="等线" w:eastAsia="等线" w:hAnsi="Times New Roman"/>
          <w:color w:val="000000"/>
        </w:rPr>
        <w:t>Acted for Goldman Sachs in its pre-IPO investment in two PRC-focused real estate developers and in the subsequent restructure of and exit from the investments</w:t>
      </w:r>
    </w:p>
    <w:p w14:paraId="598C08E8" w14:textId="77777777" w:rsidR="001E7BA5" w:rsidRDefault="001E7BA5" w:rsidP="001E7BA5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E7BA5">
        <w:rPr>
          <w:rFonts w:ascii="等线" w:eastAsia="等线" w:hAnsi="Times New Roman"/>
          <w:color w:val="000000"/>
        </w:rPr>
        <w:t>Acted for Och-Ziff in various potential pre-IPO investments, including in a PRC-focused real estate developer and a solar technology company</w:t>
      </w:r>
    </w:p>
    <w:p w14:paraId="79F41CB1" w14:textId="77777777" w:rsidR="001E7BA5" w:rsidRDefault="001E7BA5" w:rsidP="001E7BA5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E7BA5">
        <w:rPr>
          <w:rFonts w:ascii="等线" w:eastAsia="等线" w:hAnsi="Times New Roman"/>
          <w:color w:val="000000"/>
        </w:rPr>
        <w:t>Acted for Standard Chartered Private Equity in its pre-IPO investment in Yuanda China Holdings, a high-end building materials company now listed on the Hong Kong Stock Exchange</w:t>
      </w:r>
    </w:p>
    <w:p w14:paraId="7DC7F0B2" w14:textId="77777777" w:rsidR="001E7BA5" w:rsidRDefault="001E7BA5" w:rsidP="001E7BA5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E7BA5">
        <w:rPr>
          <w:rFonts w:ascii="等线" w:eastAsia="等线" w:hAnsi="Times New Roman"/>
          <w:color w:val="000000"/>
        </w:rPr>
        <w:t>Acted for BBT (帮帮兔) in its joint venture with SF Express to set up a last mile delivery service platform in Hong Kong</w:t>
      </w:r>
    </w:p>
    <w:p w14:paraId="41709722" w14:textId="77777777" w:rsidR="001E7BA5" w:rsidRDefault="001E7BA5" w:rsidP="001E7BA5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E7BA5">
        <w:rPr>
          <w:rFonts w:ascii="等线" w:eastAsia="等线" w:hAnsi="Times New Roman"/>
          <w:color w:val="000000"/>
        </w:rPr>
        <w:t>Advised DDC Enterprise Limited, operator of the culinary website DayDayCook, in its Series A and Series A-1 funding rounds, including by Gobi Ventures as manager of the Alibaba Entrepreneurs Fund</w:t>
      </w:r>
    </w:p>
    <w:p w14:paraId="0CDDB83A" w14:textId="77777777" w:rsidR="001E7BA5" w:rsidRDefault="001E7BA5" w:rsidP="001E7BA5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E7BA5">
        <w:rPr>
          <w:rFonts w:ascii="等线" w:eastAsia="等线" w:hAnsi="Times New Roman"/>
          <w:color w:val="000000"/>
        </w:rPr>
        <w:t>Acted for RRJ Capital in its pre-IPO investments in three PRC-focused entities: manufacturer of smart credit/debit cards; China franchise of an international hotel chain; and manufacturer of fruit drink and tea beverages</w:t>
      </w:r>
    </w:p>
    <w:p w14:paraId="5C061ABF" w14:textId="77777777" w:rsidR="001E7BA5" w:rsidRDefault="001E7BA5" w:rsidP="001E7BA5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E7BA5">
        <w:rPr>
          <w:rFonts w:ascii="等线" w:eastAsia="等线" w:hAnsi="Times New Roman"/>
          <w:color w:val="000000"/>
        </w:rPr>
        <w:t>Acted for CITIC Securities International in advising its client in the potential structured stake accumulation in a Malaysian listed company and on its investment and pre-agreed exit options in relation to a PRC financial services company</w:t>
      </w:r>
    </w:p>
    <w:p w14:paraId="65CBDA26" w14:textId="77777777" w:rsidR="001E7BA5" w:rsidRDefault="001E7BA5" w:rsidP="001E7BA5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E7BA5">
        <w:rPr>
          <w:rFonts w:ascii="等线" w:eastAsia="等线" w:hAnsi="Times New Roman"/>
          <w:color w:val="000000"/>
        </w:rPr>
        <w:t>Advised Mindray Medical in its post-privatisation restructuring and proposed relisting in China</w:t>
      </w:r>
    </w:p>
    <w:p w14:paraId="01BA0AEE" w14:textId="77777777" w:rsidR="001E7BA5" w:rsidRDefault="001E7BA5" w:rsidP="001E7BA5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E7BA5">
        <w:rPr>
          <w:rFonts w:ascii="等线" w:eastAsia="等线" w:hAnsi="Times New Roman"/>
          <w:color w:val="000000"/>
        </w:rPr>
        <w:t>Acted for The Royal Bank of Scotland in the disposal of its banking interests in Asia</w:t>
      </w:r>
    </w:p>
    <w:p w14:paraId="7B6B2255" w14:textId="77777777" w:rsidR="001E7BA5" w:rsidRDefault="001E7BA5" w:rsidP="001E7BA5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E7BA5">
        <w:rPr>
          <w:rFonts w:ascii="等线" w:eastAsia="等线" w:hAnsi="Times New Roman"/>
          <w:color w:val="000000"/>
        </w:rPr>
        <w:t>Acted for KPMG, as liquidators of Lehman Brothers, in the management of various portfolio investments</w:t>
      </w:r>
    </w:p>
    <w:p w14:paraId="1FF78067" w14:textId="77777777" w:rsidR="001E7BA5" w:rsidRDefault="001E7BA5" w:rsidP="001E7BA5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E7BA5">
        <w:rPr>
          <w:rFonts w:ascii="等线" w:eastAsia="等线" w:hAnsi="Times New Roman"/>
          <w:color w:val="000000"/>
        </w:rPr>
        <w:t>Acted for a consortium of investors, including Och-Ziff, Forum Partners and Highbridge Capital in the restructure of its investment in China New Town Development, a company dual listed on the Hong Kong Stock Exchange and the Singapore Stock Exchange</w:t>
      </w:r>
    </w:p>
    <w:p w14:paraId="1DE7BA42" w14:textId="77777777" w:rsidR="001E7BA5" w:rsidRDefault="001E7BA5" w:rsidP="001E7BA5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E7BA5">
        <w:rPr>
          <w:rFonts w:ascii="等线" w:eastAsia="等线" w:hAnsi="Times New Roman"/>
          <w:color w:val="000000"/>
        </w:rPr>
        <w:t>Acted for the shareholders of Lloyd George Investment Management Limited in its sale to Bank of Montreal</w:t>
      </w:r>
    </w:p>
    <w:p w14:paraId="0805869F" w14:textId="77777777" w:rsidR="001E7BA5" w:rsidRDefault="001E7BA5" w:rsidP="001E7BA5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E7BA5">
        <w:rPr>
          <w:rFonts w:ascii="等线" w:eastAsia="等线" w:hAnsi="Times New Roman"/>
          <w:color w:val="000000"/>
        </w:rPr>
        <w:t>Acted for the shareholders of Josco Holdings, a Hong Kong-based manufacturer of food packaging supplies, in its sale to Huhtamaki Oyj, the Finnish-listed global packaging corporation</w:t>
      </w:r>
    </w:p>
    <w:p w14:paraId="41029719" w14:textId="77777777" w:rsidR="001E7BA5" w:rsidRDefault="001E7BA5" w:rsidP="001E7BA5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E7BA5">
        <w:rPr>
          <w:rFonts w:ascii="等线" w:eastAsia="等线" w:hAnsi="Times New Roman"/>
          <w:color w:val="000000"/>
        </w:rPr>
        <w:t>Acted for Citi in the sale of its interest in Xihuan Plaza, Beijing, via the sale of a wholly-owned Hong Kong holding company</w:t>
      </w:r>
    </w:p>
    <w:p w14:paraId="1341BDA5" w14:textId="77777777" w:rsidR="001E7BA5" w:rsidRDefault="001E7BA5" w:rsidP="001E7BA5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E7BA5">
        <w:rPr>
          <w:rFonts w:ascii="等线" w:eastAsia="等线" w:hAnsi="Times New Roman"/>
          <w:color w:val="000000"/>
        </w:rPr>
        <w:t>Acted for Morgan Stanley Asia in the potential acquisition of two PRC focused mining entities</w:t>
      </w:r>
    </w:p>
    <w:p w14:paraId="4F400C11" w14:textId="77777777" w:rsidR="001E7BA5" w:rsidRDefault="001E7BA5" w:rsidP="001E7BA5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E7BA5">
        <w:rPr>
          <w:rFonts w:ascii="等线" w:eastAsia="等线" w:hAnsi="Times New Roman"/>
          <w:color w:val="000000"/>
        </w:rPr>
        <w:t>Acted for Meyer Bergman in its acquisition of the Whiteleys shopping centre in Bayswater, London</w:t>
      </w:r>
    </w:p>
    <w:p w14:paraId="3309BE2E" w14:textId="77777777" w:rsidR="001E7BA5" w:rsidRDefault="001E7BA5" w:rsidP="001E7BA5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E7BA5">
        <w:rPr>
          <w:rFonts w:ascii="等线" w:eastAsia="等线" w:hAnsi="Times New Roman"/>
          <w:color w:val="000000"/>
        </w:rPr>
        <w:t>Advised China Resources Land on its proposed joint venture with an international sovereign wealth fund to establish a US $2 billion China-focused real estate investment platform</w:t>
      </w:r>
    </w:p>
    <w:p w14:paraId="35E39F63" w14:textId="77777777" w:rsidR="001E7BA5" w:rsidRDefault="001E7BA5" w:rsidP="001E7BA5">
      <w:pPr>
        <w:pStyle w:val="af5"/>
        <w:numPr>
          <w:ilvl w:val="0"/>
          <w:numId w:val="3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E7BA5">
        <w:rPr>
          <w:rFonts w:ascii="等线" w:eastAsia="等线" w:hAnsi="Times New Roman"/>
          <w:color w:val="000000"/>
        </w:rPr>
        <w:t>Advised IDI Gazeley, a subsidiary of the Brookfield Property Group on its proposed joint venture with Zeny Supply Chain, a member of the Legend Holdings group, to design and construct a built-to-spec logistics hub for a retailer in China</w:t>
      </w:r>
    </w:p>
    <w:p w14:paraId="5F45C516" w14:textId="77777777" w:rsidR="001E7BA5" w:rsidRDefault="001E7BA5" w:rsidP="001E7BA5">
      <w:pPr>
        <w:pStyle w:val="af5"/>
        <w:numPr>
          <w:ilvl w:val="0"/>
          <w:numId w:val="3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E7BA5">
        <w:rPr>
          <w:rFonts w:ascii="等线" w:eastAsia="等线" w:hAnsi="Times New Roman"/>
          <w:color w:val="000000"/>
        </w:rPr>
        <w:t>Acted for Citi in its negotiations with developers to construct and lease to Citi its future regional headquarters in two South East Asian hubs</w:t>
      </w:r>
    </w:p>
    <w:p w14:paraId="2B87FB14" w14:textId="77777777" w:rsidR="001E7BA5" w:rsidRDefault="001E7BA5" w:rsidP="001E7BA5">
      <w:pPr>
        <w:pStyle w:val="af5"/>
        <w:numPr>
          <w:ilvl w:val="0"/>
          <w:numId w:val="3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E7BA5">
        <w:rPr>
          <w:rFonts w:ascii="等线" w:eastAsia="等线" w:hAnsi="Times New Roman"/>
          <w:color w:val="000000"/>
        </w:rPr>
        <w:t>Acting for Hong Kong Land in its development of a prime commercial site in Wangfujing, Beijing</w:t>
      </w:r>
    </w:p>
    <w:p w14:paraId="0570EC51" w14:textId="77777777" w:rsidR="001E7BA5" w:rsidRDefault="001E7BA5" w:rsidP="001E7BA5">
      <w:pPr>
        <w:pStyle w:val="af5"/>
        <w:numPr>
          <w:ilvl w:val="0"/>
          <w:numId w:val="3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E7BA5">
        <w:rPr>
          <w:rFonts w:ascii="等线" w:eastAsia="等线" w:hAnsi="Times New Roman"/>
          <w:color w:val="000000"/>
        </w:rPr>
        <w:t>Advised Shenzhen Energy Corporation in its proposed construction and operation of a hydropower plant in a developing country in South East Asia</w:t>
      </w:r>
    </w:p>
    <w:p w14:paraId="68BACD31" w14:textId="77777777" w:rsidR="001E7BA5" w:rsidRDefault="001E7BA5" w:rsidP="001E7BA5">
      <w:pPr>
        <w:pStyle w:val="af5"/>
        <w:numPr>
          <w:ilvl w:val="0"/>
          <w:numId w:val="3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E7BA5">
        <w:rPr>
          <w:rFonts w:ascii="等线" w:eastAsia="等线" w:hAnsi="Times New Roman"/>
          <w:color w:val="000000"/>
        </w:rPr>
        <w:t>Acted for a PRC-based investor in the establishment of a joint venture with one of the largest LNG suppliers in the world and a Russian-backed commodities trading conglomerate in order to explore opportunities to market and sell Russian-extracted LNG to Chinese purchasers</w:t>
      </w:r>
    </w:p>
    <w:p w14:paraId="36D33C67" w14:textId="77777777" w:rsidR="001E7BA5" w:rsidRDefault="001E7BA5" w:rsidP="001E7BA5">
      <w:pPr>
        <w:pStyle w:val="af5"/>
        <w:numPr>
          <w:ilvl w:val="0"/>
          <w:numId w:val="3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E7BA5">
        <w:rPr>
          <w:rFonts w:ascii="等线" w:eastAsia="等线" w:hAnsi="Times New Roman"/>
          <w:color w:val="000000"/>
        </w:rPr>
        <w:t>Acted for China Merchants Holdings in its joint venture to build and operate certain infrastructure assets in the Republic of Djibouti</w:t>
      </w:r>
    </w:p>
    <w:p w14:paraId="7ED46AF3" w14:textId="77777777" w:rsidR="001E7BA5" w:rsidRDefault="001E7BA5" w:rsidP="001E7BA5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1E7BA5">
        <w:rPr>
          <w:rFonts w:ascii="等线" w:eastAsia="等线" w:hAnsi="等线"/>
          <w:b/>
          <w:sz w:val="24"/>
        </w:rPr>
        <w:t>Education</w:t>
      </w:r>
    </w:p>
    <w:p w14:paraId="0B6BBDFF" w14:textId="77777777" w:rsidR="001E7BA5" w:rsidRDefault="001E7BA5" w:rsidP="001E7BA5">
      <w:pPr>
        <w:pStyle w:val="af5"/>
        <w:numPr>
          <w:ilvl w:val="0"/>
          <w:numId w:val="3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E7BA5">
        <w:rPr>
          <w:rFonts w:ascii="等线" w:eastAsia="等线" w:hAnsi="Times New Roman"/>
          <w:color w:val="000000"/>
        </w:rPr>
        <w:t>University of Sydney, Sydney, Australia, Masters of Law</w:t>
      </w:r>
    </w:p>
    <w:p w14:paraId="2CE4319A" w14:textId="77777777" w:rsidR="001E7BA5" w:rsidRDefault="001E7BA5" w:rsidP="001E7BA5">
      <w:pPr>
        <w:pStyle w:val="af5"/>
        <w:numPr>
          <w:ilvl w:val="0"/>
          <w:numId w:val="3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E7BA5">
        <w:rPr>
          <w:rFonts w:ascii="等线" w:eastAsia="等线" w:hAnsi="Times New Roman"/>
          <w:color w:val="000000"/>
        </w:rPr>
        <w:t>University of Sydney, Sydney, Australia, LL.B (Honors)</w:t>
      </w:r>
    </w:p>
    <w:p w14:paraId="78713441" w14:textId="77777777" w:rsidR="001E7BA5" w:rsidRDefault="001E7BA5" w:rsidP="001E7BA5">
      <w:pPr>
        <w:pStyle w:val="af5"/>
        <w:numPr>
          <w:ilvl w:val="0"/>
          <w:numId w:val="3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E7BA5">
        <w:rPr>
          <w:rFonts w:ascii="等线" w:eastAsia="等线" w:hAnsi="Times New Roman"/>
          <w:color w:val="000000"/>
        </w:rPr>
        <w:t>University of Sydney, Sydney, Australia, Bachelor of Commerce</w:t>
      </w:r>
    </w:p>
    <w:p w14:paraId="51EFEE7C" w14:textId="77777777" w:rsidR="001E7BA5" w:rsidRDefault="001E7BA5" w:rsidP="001E7BA5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1E7BA5">
        <w:rPr>
          <w:rFonts w:ascii="等线" w:eastAsia="等线" w:hAnsi="等线"/>
          <w:b/>
          <w:sz w:val="24"/>
        </w:rPr>
        <w:t>Professional Qualification</w:t>
      </w:r>
    </w:p>
    <w:p w14:paraId="2D2AA148" w14:textId="77777777" w:rsidR="001E7BA5" w:rsidRDefault="001E7BA5" w:rsidP="001E7BA5">
      <w:pPr>
        <w:pStyle w:val="af5"/>
        <w:numPr>
          <w:ilvl w:val="0"/>
          <w:numId w:val="3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E7BA5">
        <w:rPr>
          <w:rFonts w:ascii="等线" w:eastAsia="等线" w:hAnsi="Times New Roman"/>
          <w:color w:val="000000"/>
        </w:rPr>
        <w:t>Admitted to practice in New South Wales (Australia)</w:t>
      </w:r>
    </w:p>
    <w:p w14:paraId="42F5719D" w14:textId="77777777" w:rsidR="001E7BA5" w:rsidRDefault="001E7BA5" w:rsidP="001E7BA5">
      <w:pPr>
        <w:pStyle w:val="af5"/>
        <w:numPr>
          <w:ilvl w:val="0"/>
          <w:numId w:val="4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E7BA5">
        <w:rPr>
          <w:rFonts w:ascii="等线" w:eastAsia="等线" w:hAnsi="Times New Roman"/>
          <w:color w:val="000000"/>
        </w:rPr>
        <w:t>Admitted to practice in Hong Kong SAR</w:t>
      </w:r>
    </w:p>
    <w:p w14:paraId="71C9AE43" w14:textId="77777777" w:rsidR="001E7BA5" w:rsidRDefault="001E7BA5" w:rsidP="001E7BA5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1E7BA5">
        <w:rPr>
          <w:rFonts w:ascii="等线" w:eastAsia="等线" w:hAnsi="等线"/>
          <w:b/>
          <w:sz w:val="24"/>
        </w:rPr>
        <w:t>Work Language</w:t>
      </w:r>
    </w:p>
    <w:p w14:paraId="370BC939" w14:textId="77777777" w:rsidR="001E7BA5" w:rsidRDefault="001E7BA5" w:rsidP="001E7BA5">
      <w:pPr>
        <w:pStyle w:val="af5"/>
        <w:numPr>
          <w:ilvl w:val="0"/>
          <w:numId w:val="4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E7BA5">
        <w:rPr>
          <w:rFonts w:ascii="等线" w:eastAsia="等线" w:hAnsi="Times New Roman"/>
          <w:color w:val="000000"/>
        </w:rPr>
        <w:t>Mandarin</w:t>
      </w:r>
    </w:p>
    <w:p w14:paraId="76A4FF82" w14:textId="77777777" w:rsidR="001E7BA5" w:rsidRDefault="001E7BA5" w:rsidP="001E7BA5">
      <w:pPr>
        <w:pStyle w:val="af5"/>
        <w:numPr>
          <w:ilvl w:val="0"/>
          <w:numId w:val="4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E7BA5">
        <w:rPr>
          <w:rFonts w:ascii="等线" w:eastAsia="等线" w:hAnsi="Times New Roman"/>
          <w:color w:val="000000"/>
        </w:rPr>
        <w:t>Cantonese</w:t>
      </w:r>
    </w:p>
    <w:p w14:paraId="30B9F64E" w14:textId="77777777" w:rsidR="001E7BA5" w:rsidRDefault="001E7BA5" w:rsidP="001E7BA5">
      <w:pPr>
        <w:pStyle w:val="af5"/>
        <w:numPr>
          <w:ilvl w:val="0"/>
          <w:numId w:val="4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E7BA5">
        <w:rPr>
          <w:rFonts w:ascii="等线" w:eastAsia="等线" w:hAnsi="Times New Roman"/>
          <w:color w:val="000000"/>
        </w:rPr>
        <w:t>English</w:t>
      </w:r>
    </w:p>
    <w:p w14:paraId="77484C89" w14:textId="77777777" w:rsidR="001E7BA5" w:rsidRDefault="001E7BA5" w:rsidP="001E7BA5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1E7BA5">
        <w:rPr>
          <w:rFonts w:ascii="等线" w:eastAsia="等线" w:hAnsi="等线"/>
          <w:b/>
          <w:sz w:val="24"/>
        </w:rPr>
        <w:t>Professional Background</w:t>
      </w:r>
    </w:p>
    <w:p w14:paraId="5567FC3C" w14:textId="2BAD08D9" w:rsidR="00686369" w:rsidRPr="001E7BA5" w:rsidRDefault="001E7BA5" w:rsidP="001E7BA5">
      <w:pPr>
        <w:pStyle w:val="af5"/>
        <w:numPr>
          <w:ilvl w:val="0"/>
          <w:numId w:val="4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E7BA5">
        <w:rPr>
          <w:rFonts w:ascii="等线" w:eastAsia="等线" w:hAnsi="Times New Roman"/>
          <w:color w:val="000000"/>
        </w:rPr>
        <w:t>Before joining Fangda Partners, Mr. Chan worked at several leading international law firms, including Linklaters, Berwin Leighton Paisner (HK) LLP and Deacons Australia (now Norton Rose Fulbright Australia).</w:t>
      </w:r>
    </w:p>
    <w:sectPr w:rsidR="00686369" w:rsidRPr="001E7BA5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A5A7C"/>
    <w:multiLevelType w:val="singleLevel"/>
    <w:tmpl w:val="2032642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3075862"/>
    <w:multiLevelType w:val="singleLevel"/>
    <w:tmpl w:val="C4A8D3D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77825E6"/>
    <w:multiLevelType w:val="singleLevel"/>
    <w:tmpl w:val="EE9C614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A7600D3"/>
    <w:multiLevelType w:val="singleLevel"/>
    <w:tmpl w:val="683639D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0B4169A2"/>
    <w:multiLevelType w:val="singleLevel"/>
    <w:tmpl w:val="5070711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0B6C6C3F"/>
    <w:multiLevelType w:val="singleLevel"/>
    <w:tmpl w:val="82C0A0E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0D8E4250"/>
    <w:multiLevelType w:val="singleLevel"/>
    <w:tmpl w:val="5B08AE6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13893048"/>
    <w:multiLevelType w:val="singleLevel"/>
    <w:tmpl w:val="1A50EB0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14D14E4F"/>
    <w:multiLevelType w:val="singleLevel"/>
    <w:tmpl w:val="6FC2E07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16B71DF6"/>
    <w:multiLevelType w:val="singleLevel"/>
    <w:tmpl w:val="15A0ED1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1D3B293A"/>
    <w:multiLevelType w:val="singleLevel"/>
    <w:tmpl w:val="8FA6640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22E20368"/>
    <w:multiLevelType w:val="singleLevel"/>
    <w:tmpl w:val="C04A5D6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23330AB8"/>
    <w:multiLevelType w:val="singleLevel"/>
    <w:tmpl w:val="635AD29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29EB4A4E"/>
    <w:multiLevelType w:val="singleLevel"/>
    <w:tmpl w:val="8C26F1F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5" w15:restartNumberingAfterBreak="0">
    <w:nsid w:val="32411834"/>
    <w:multiLevelType w:val="singleLevel"/>
    <w:tmpl w:val="72E8A58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36982959"/>
    <w:multiLevelType w:val="singleLevel"/>
    <w:tmpl w:val="974238A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8" w15:restartNumberingAfterBreak="0">
    <w:nsid w:val="3CC46361"/>
    <w:multiLevelType w:val="singleLevel"/>
    <w:tmpl w:val="1556E82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3E324795"/>
    <w:multiLevelType w:val="singleLevel"/>
    <w:tmpl w:val="030EA66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3F9D37BB"/>
    <w:multiLevelType w:val="singleLevel"/>
    <w:tmpl w:val="B6EA9E7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420573A2"/>
    <w:multiLevelType w:val="singleLevel"/>
    <w:tmpl w:val="6536538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4B5303CA"/>
    <w:multiLevelType w:val="singleLevel"/>
    <w:tmpl w:val="4224ED3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4C661C38"/>
    <w:multiLevelType w:val="singleLevel"/>
    <w:tmpl w:val="415262E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512E119E"/>
    <w:multiLevelType w:val="singleLevel"/>
    <w:tmpl w:val="FEC8EB9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55F43ECB"/>
    <w:multiLevelType w:val="singleLevel"/>
    <w:tmpl w:val="5070711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57786CA9"/>
    <w:multiLevelType w:val="singleLevel"/>
    <w:tmpl w:val="01FA2D5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5AEB20F1"/>
    <w:multiLevelType w:val="singleLevel"/>
    <w:tmpl w:val="D390E72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5B2608E5"/>
    <w:multiLevelType w:val="singleLevel"/>
    <w:tmpl w:val="7D0C95A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5B341CCF"/>
    <w:multiLevelType w:val="singleLevel"/>
    <w:tmpl w:val="5D10982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0" w15:restartNumberingAfterBreak="0">
    <w:nsid w:val="5B4B1CA6"/>
    <w:multiLevelType w:val="singleLevel"/>
    <w:tmpl w:val="FA40FF3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1" w15:restartNumberingAfterBreak="0">
    <w:nsid w:val="5CB430F0"/>
    <w:multiLevelType w:val="singleLevel"/>
    <w:tmpl w:val="A1D4C97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2" w15:restartNumberingAfterBreak="0">
    <w:nsid w:val="61EB4D2B"/>
    <w:multiLevelType w:val="singleLevel"/>
    <w:tmpl w:val="A6102D0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3" w15:restartNumberingAfterBreak="0">
    <w:nsid w:val="63534288"/>
    <w:multiLevelType w:val="singleLevel"/>
    <w:tmpl w:val="1BF4CD5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4" w15:restartNumberingAfterBreak="0">
    <w:nsid w:val="672E2756"/>
    <w:multiLevelType w:val="singleLevel"/>
    <w:tmpl w:val="B226E1D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5" w15:restartNumberingAfterBreak="0">
    <w:nsid w:val="6F9B5829"/>
    <w:multiLevelType w:val="singleLevel"/>
    <w:tmpl w:val="64A482A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6" w15:restartNumberingAfterBreak="0">
    <w:nsid w:val="70000113"/>
    <w:multiLevelType w:val="singleLevel"/>
    <w:tmpl w:val="FF223FB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7" w15:restartNumberingAfterBreak="0">
    <w:nsid w:val="763A6929"/>
    <w:multiLevelType w:val="singleLevel"/>
    <w:tmpl w:val="6FD6FB2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8" w15:restartNumberingAfterBreak="0">
    <w:nsid w:val="768065C4"/>
    <w:multiLevelType w:val="singleLevel"/>
    <w:tmpl w:val="94FCF73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9" w15:restartNumberingAfterBreak="0">
    <w:nsid w:val="77EE29CD"/>
    <w:multiLevelType w:val="singleLevel"/>
    <w:tmpl w:val="58B69F2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0" w15:restartNumberingAfterBreak="0">
    <w:nsid w:val="78DE1C93"/>
    <w:multiLevelType w:val="singleLevel"/>
    <w:tmpl w:val="93B64A9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1" w15:restartNumberingAfterBreak="0">
    <w:nsid w:val="7A9C0D89"/>
    <w:multiLevelType w:val="singleLevel"/>
    <w:tmpl w:val="42AC0FD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2" w15:restartNumberingAfterBreak="0">
    <w:nsid w:val="7BBE0BAD"/>
    <w:multiLevelType w:val="singleLevel"/>
    <w:tmpl w:val="B9A4637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3" w15:restartNumberingAfterBreak="0">
    <w:nsid w:val="7FC6333E"/>
    <w:multiLevelType w:val="singleLevel"/>
    <w:tmpl w:val="4B4613C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4"/>
  </w:num>
  <w:num w:numId="2">
    <w:abstractNumId w:val="17"/>
  </w:num>
  <w:num w:numId="3">
    <w:abstractNumId w:val="32"/>
  </w:num>
  <w:num w:numId="4">
    <w:abstractNumId w:val="8"/>
  </w:num>
  <w:num w:numId="5">
    <w:abstractNumId w:val="36"/>
  </w:num>
  <w:num w:numId="6">
    <w:abstractNumId w:val="42"/>
  </w:num>
  <w:num w:numId="7">
    <w:abstractNumId w:val="37"/>
  </w:num>
  <w:num w:numId="8">
    <w:abstractNumId w:val="9"/>
  </w:num>
  <w:num w:numId="9">
    <w:abstractNumId w:val="11"/>
  </w:num>
  <w:num w:numId="10">
    <w:abstractNumId w:val="20"/>
  </w:num>
  <w:num w:numId="11">
    <w:abstractNumId w:val="29"/>
  </w:num>
  <w:num w:numId="12">
    <w:abstractNumId w:val="13"/>
  </w:num>
  <w:num w:numId="13">
    <w:abstractNumId w:val="34"/>
  </w:num>
  <w:num w:numId="14">
    <w:abstractNumId w:val="15"/>
  </w:num>
  <w:num w:numId="15">
    <w:abstractNumId w:val="12"/>
  </w:num>
  <w:num w:numId="16">
    <w:abstractNumId w:val="38"/>
  </w:num>
  <w:num w:numId="17">
    <w:abstractNumId w:val="5"/>
  </w:num>
  <w:num w:numId="18">
    <w:abstractNumId w:val="35"/>
  </w:num>
  <w:num w:numId="19">
    <w:abstractNumId w:val="40"/>
  </w:num>
  <w:num w:numId="20">
    <w:abstractNumId w:val="10"/>
  </w:num>
  <w:num w:numId="21">
    <w:abstractNumId w:val="31"/>
  </w:num>
  <w:num w:numId="22">
    <w:abstractNumId w:val="23"/>
  </w:num>
  <w:num w:numId="23">
    <w:abstractNumId w:val="2"/>
  </w:num>
  <w:num w:numId="24">
    <w:abstractNumId w:val="43"/>
  </w:num>
  <w:num w:numId="25">
    <w:abstractNumId w:val="28"/>
  </w:num>
  <w:num w:numId="26">
    <w:abstractNumId w:val="19"/>
  </w:num>
  <w:num w:numId="27">
    <w:abstractNumId w:val="21"/>
  </w:num>
  <w:num w:numId="28">
    <w:abstractNumId w:val="6"/>
  </w:num>
  <w:num w:numId="29">
    <w:abstractNumId w:val="1"/>
  </w:num>
  <w:num w:numId="30">
    <w:abstractNumId w:val="18"/>
  </w:num>
  <w:num w:numId="31">
    <w:abstractNumId w:val="41"/>
  </w:num>
  <w:num w:numId="32">
    <w:abstractNumId w:val="22"/>
  </w:num>
  <w:num w:numId="33">
    <w:abstractNumId w:val="3"/>
  </w:num>
  <w:num w:numId="34">
    <w:abstractNumId w:val="7"/>
  </w:num>
  <w:num w:numId="35">
    <w:abstractNumId w:val="16"/>
  </w:num>
  <w:num w:numId="36">
    <w:abstractNumId w:val="0"/>
  </w:num>
  <w:num w:numId="37">
    <w:abstractNumId w:val="33"/>
  </w:num>
  <w:num w:numId="38">
    <w:abstractNumId w:val="39"/>
  </w:num>
  <w:num w:numId="39">
    <w:abstractNumId w:val="24"/>
  </w:num>
  <w:num w:numId="40">
    <w:abstractNumId w:val="27"/>
  </w:num>
  <w:num w:numId="41">
    <w:abstractNumId w:val="26"/>
  </w:num>
  <w:num w:numId="42">
    <w:abstractNumId w:val="30"/>
  </w:num>
  <w:num w:numId="43">
    <w:abstractNumId w:val="25"/>
  </w:num>
  <w:num w:numId="4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E7BA5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1E7BA5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1E7BA5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DAC2783-FA44-47B3-BA73-3DCB6962A3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984</Words>
  <Characters>5613</Characters>
  <Application>Microsoft Office Word</Application>
  <DocSecurity>0</DocSecurity>
  <Lines>46</Lines>
  <Paragraphs>13</Paragraphs>
  <ScaleCrop>false</ScaleCrop>
  <Company/>
  <LinksUpToDate>false</LinksUpToDate>
  <CharactersWithSpaces>6584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2026-10-08T04:16:00Z</dcterms:created>
  <dcterms:modified xsi:type="dcterms:W3CDTF">2026-10-08T04:16:00Z</dcterms:modified>
</cp:coreProperties>
</file>