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F9B4310" w:rsidR="0049405C" w:rsidRPr="00C24D79" w:rsidRDefault="002A014C" w:rsidP="002A014C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2A014C">
              <w:rPr>
                <w:rFonts w:ascii="等线" w:eastAsia="等线" w:hAnsi="Times New Roman"/>
                <w:b/>
                <w:color w:val="000000"/>
                <w:sz w:val="48"/>
              </w:rPr>
              <w:t>MILES MA</w:t>
            </w:r>
            <w:bookmarkEnd w:id="0"/>
          </w:p>
          <w:p w14:paraId="706EB16B" w14:textId="0268C171" w:rsidR="0049405C" w:rsidRPr="00C24D79" w:rsidRDefault="002A014C" w:rsidP="002A014C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2A014C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2A014C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2A014C">
              <w:rPr>
                <w:rFonts w:ascii="等线" w:eastAsia="等线" w:hAnsi="Times New Roman"/>
                <w:b/>
                <w:bCs/>
                <w:color w:val="000000"/>
              </w:rPr>
              <w:t>Shanghai | Nanjing</w:t>
            </w:r>
            <w:bookmarkEnd w:id="2"/>
          </w:p>
          <w:p w14:paraId="6199424A" w14:textId="07D1ACA6" w:rsidR="0049405C" w:rsidRPr="00C24D79" w:rsidRDefault="002A014C" w:rsidP="002A014C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2A014C">
              <w:rPr>
                <w:rFonts w:ascii="等线" w:eastAsia="等线" w:hAnsi="Times New Roman"/>
                <w:color w:val="000000"/>
              </w:rPr>
              <w:t xml:space="preserve">+86 21 2208 1031 </w:t>
            </w:r>
            <w:bookmarkEnd w:id="3"/>
          </w:p>
          <w:p w14:paraId="4F910ACA" w14:textId="11D9104F" w:rsidR="0049405C" w:rsidRPr="00C24D79" w:rsidRDefault="002A014C" w:rsidP="002A014C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2A014C">
              <w:rPr>
                <w:rFonts w:ascii="等线" w:eastAsia="等线" w:hAnsi="Times New Roman"/>
                <w:color w:val="000000"/>
              </w:rPr>
              <w:t>miles.ma@fangdalaw.com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D558711" w:rsidR="0049405C" w:rsidRPr="00C24D79" w:rsidRDefault="002A014C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52B8E17" wp14:editId="06887BE5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F53736A" w:rsidR="009465FB" w:rsidRPr="00C24D79" w:rsidRDefault="002A014C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2A014C">
              <w:rPr>
                <w:rFonts w:ascii="等线" w:eastAsia="等线" w:hAnsi="Times New Roman"/>
                <w:color w:val="000000"/>
                <w:szCs w:val="21"/>
              </w:rPr>
              <w:t>MR. MA ADVISES ON M&amp;A, SECURITIES, FINANCIAL SERVICES AND CHINA INVESTMENTS. HE HAS EXPERIENCE IN A VARIETY OF CHINA-RELATED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1541B91" w14:textId="77777777" w:rsidR="002A014C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A23EBB2" w14:textId="77777777" w:rsidR="002A014C" w:rsidRDefault="002A014C" w:rsidP="002A014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A014C">
        <w:rPr>
          <w:rFonts w:ascii="等线" w:eastAsia="等线" w:hAnsi="等线"/>
          <w:b/>
          <w:sz w:val="24"/>
        </w:rPr>
        <w:t>REPRESENTATIVE MATTERS AND CASES</w:t>
      </w:r>
    </w:p>
    <w:p w14:paraId="078806BA" w14:textId="77777777" w:rsidR="002A014C" w:rsidRDefault="002A014C" w:rsidP="002A014C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70F5EDD9" w14:textId="77777777" w:rsidR="002A014C" w:rsidRDefault="002A014C" w:rsidP="002A014C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A014C">
        <w:rPr>
          <w:rFonts w:ascii="等线" w:eastAsia="等线" w:hAnsi="Times New Roman"/>
          <w:color w:val="000000"/>
        </w:rPr>
        <w:t>Advised Anheuser Busch InBev on acquiring various breweries in China, including Blue Girl Beer, Asia Brewery</w:t>
      </w:r>
      <w:r w:rsidRPr="002A014C">
        <w:rPr>
          <w:rFonts w:ascii="等线" w:eastAsia="等线" w:hAnsi="Times New Roman"/>
          <w:color w:val="000000"/>
        </w:rPr>
        <w:t>’</w:t>
      </w:r>
      <w:r w:rsidRPr="002A014C">
        <w:rPr>
          <w:rFonts w:ascii="等线" w:eastAsia="等线" w:hAnsi="Times New Roman"/>
          <w:color w:val="000000"/>
        </w:rPr>
        <w:t>s breweries in Nanchang and Luoyang, and Harbin Brewery (Mudanjiang Jingpo) Co., Ltd., and on subscribing the A shares of Pearl River Beer</w:t>
      </w:r>
    </w:p>
    <w:p w14:paraId="4EB80BE2" w14:textId="77777777" w:rsidR="002A014C" w:rsidRDefault="002A014C" w:rsidP="002A014C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A014C">
        <w:rPr>
          <w:rFonts w:ascii="等线" w:eastAsia="等线" w:hAnsi="Times New Roman"/>
          <w:color w:val="000000"/>
        </w:rPr>
        <w:t>Advised Budweiser APAC on its IPO and listing on the HKEX</w:t>
      </w:r>
    </w:p>
    <w:p w14:paraId="303C559A" w14:textId="77777777" w:rsidR="002A014C" w:rsidRDefault="002A014C" w:rsidP="002A014C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A014C">
        <w:rPr>
          <w:rFonts w:ascii="等线" w:eastAsia="等线" w:hAnsi="Times New Roman"/>
          <w:color w:val="000000"/>
        </w:rPr>
        <w:t>Advised Ant Finance on its investment in CFPA Microfinance Management Co., Ltd.</w:t>
      </w:r>
    </w:p>
    <w:p w14:paraId="1486935B" w14:textId="77777777" w:rsidR="002A014C" w:rsidRDefault="002A014C" w:rsidP="002A014C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A014C">
        <w:rPr>
          <w:rFonts w:ascii="等线" w:eastAsia="等线" w:hAnsi="Times New Roman"/>
          <w:color w:val="000000"/>
        </w:rPr>
        <w:t>Advised AkzoNobel on the PRC matters related to its spin-off of its specialty chemicals business</w:t>
      </w:r>
    </w:p>
    <w:p w14:paraId="55A44F9C" w14:textId="77777777" w:rsidR="002A014C" w:rsidRDefault="002A014C" w:rsidP="002A014C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A014C">
        <w:rPr>
          <w:rFonts w:ascii="等线" w:eastAsia="等线" w:hAnsi="Times New Roman"/>
          <w:color w:val="000000"/>
        </w:rPr>
        <w:t>Advised Alibaba on its investment in Beijing Easyhome Investment Holdings Group Co., Ltd.</w:t>
      </w:r>
    </w:p>
    <w:p w14:paraId="742A10CE" w14:textId="77777777" w:rsidR="002A014C" w:rsidRDefault="002A014C" w:rsidP="002A014C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A014C">
        <w:rPr>
          <w:rFonts w:ascii="等线" w:eastAsia="等线" w:hAnsi="Times New Roman"/>
          <w:color w:val="000000"/>
        </w:rPr>
        <w:t>Advised Allianz AG on its health insurance joint venture with China Pacific Insurance Group</w:t>
      </w:r>
    </w:p>
    <w:p w14:paraId="7D0B67F1" w14:textId="77777777" w:rsidR="002A014C" w:rsidRDefault="002A014C" w:rsidP="002A014C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A014C">
        <w:rPr>
          <w:rFonts w:ascii="等线" w:eastAsia="等线" w:hAnsi="Times New Roman"/>
          <w:color w:val="000000"/>
        </w:rPr>
        <w:t>Advised Blackstone on its acquisition of Shya Hsin's cosmetics packaging business</w:t>
      </w:r>
    </w:p>
    <w:p w14:paraId="79D0C7CB" w14:textId="77777777" w:rsidR="002A014C" w:rsidRDefault="002A014C" w:rsidP="002A014C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A014C">
        <w:rPr>
          <w:rFonts w:ascii="等线" w:eastAsia="等线" w:hAnsi="Times New Roman"/>
          <w:color w:val="000000"/>
        </w:rPr>
        <w:t>Advised Blackstone on its acquisition of a controlling stake in an India-based listed company, which owned various PRC entities engaging in the packing business</w:t>
      </w:r>
    </w:p>
    <w:p w14:paraId="73C55FD6" w14:textId="77777777" w:rsidR="002A014C" w:rsidRDefault="002A014C" w:rsidP="002A014C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A014C">
        <w:rPr>
          <w:rFonts w:ascii="等线" w:eastAsia="等线" w:hAnsi="Times New Roman"/>
          <w:color w:val="000000"/>
        </w:rPr>
        <w:t>Advised BNP Paribas on its acquisition of a 19.2% stake in Bank of Nanjing</w:t>
      </w:r>
    </w:p>
    <w:p w14:paraId="5064A330" w14:textId="77777777" w:rsidR="002A014C" w:rsidRDefault="002A014C" w:rsidP="002A014C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A014C">
        <w:rPr>
          <w:rFonts w:ascii="等线" w:eastAsia="等线" w:hAnsi="Times New Roman"/>
          <w:color w:val="000000"/>
        </w:rPr>
        <w:t>Advised Clearlake Capital on its acquisition of Unifrax, which owned the controlling stake of Luyang Energy-saving Materials Co., Ltd. (002088.SZ)</w:t>
      </w:r>
    </w:p>
    <w:p w14:paraId="2CE4A666" w14:textId="77777777" w:rsidR="002A014C" w:rsidRDefault="002A014C" w:rsidP="002A014C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A014C">
        <w:rPr>
          <w:rFonts w:ascii="等线" w:eastAsia="等线" w:hAnsi="Times New Roman"/>
          <w:color w:val="000000"/>
        </w:rPr>
        <w:t>Advised Deutsche Bank AG on its establishment of the Sino-foreign securities joint venture Zhongde Securities Co., Ltd. with Shanxi Securities Co., Ltd.</w:t>
      </w:r>
    </w:p>
    <w:p w14:paraId="6AF26F57" w14:textId="77777777" w:rsidR="002A014C" w:rsidRDefault="002A014C" w:rsidP="002A014C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A014C">
        <w:rPr>
          <w:rFonts w:ascii="等线" w:eastAsia="等线" w:hAnsi="Times New Roman"/>
          <w:color w:val="000000"/>
        </w:rPr>
        <w:t>Advised Deutsche Bank AG on its subscription of RMB 3.9 billion (approximately US$554 million) of A-shares in Shanghai-listed Huaxia Bank Co., Ltd. through a private placement</w:t>
      </w:r>
    </w:p>
    <w:p w14:paraId="08064DBC" w14:textId="77777777" w:rsidR="002A014C" w:rsidRDefault="002A014C" w:rsidP="002A014C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A014C">
        <w:rPr>
          <w:rFonts w:ascii="等线" w:eastAsia="等线" w:hAnsi="Times New Roman"/>
          <w:color w:val="000000"/>
        </w:rPr>
        <w:t>Advised Farfetch on its acquisition of Curiosity Group</w:t>
      </w:r>
    </w:p>
    <w:p w14:paraId="3CE70276" w14:textId="77777777" w:rsidR="002A014C" w:rsidRDefault="002A014C" w:rsidP="002A014C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A014C">
        <w:rPr>
          <w:rFonts w:ascii="等线" w:eastAsia="等线" w:hAnsi="Times New Roman"/>
          <w:color w:val="000000"/>
        </w:rPr>
        <w:t>Advised Four Rivers on acquiring the controlling stake of Chongqing Iron &amp; Steel (Group) Co. Ltd (601005.SH/01053.HK) through a judicial reorganization</w:t>
      </w:r>
    </w:p>
    <w:p w14:paraId="47D06ED2" w14:textId="77777777" w:rsidR="002A014C" w:rsidRDefault="002A014C" w:rsidP="002A014C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A014C">
        <w:rPr>
          <w:rFonts w:ascii="等线" w:eastAsia="等线" w:hAnsi="Times New Roman"/>
          <w:color w:val="000000"/>
        </w:rPr>
        <w:t>Advised Honeywell on its spin-off of its transportation and homes businesses through a series of transactions, including two demergers of its China investment holding company</w:t>
      </w:r>
    </w:p>
    <w:p w14:paraId="25499A5B" w14:textId="77777777" w:rsidR="002A014C" w:rsidRDefault="002A014C" w:rsidP="002A014C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A014C">
        <w:rPr>
          <w:rFonts w:ascii="等线" w:eastAsia="等线" w:hAnsi="Times New Roman"/>
          <w:color w:val="000000"/>
        </w:rPr>
        <w:t>Advised Limited Brands (Victoria Secret) on its acquisition of the distribution business of its distributor for the Chinese market</w:t>
      </w:r>
    </w:p>
    <w:p w14:paraId="5B833813" w14:textId="77777777" w:rsidR="002A014C" w:rsidRDefault="002A014C" w:rsidP="002A014C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A014C">
        <w:rPr>
          <w:rFonts w:ascii="等线" w:eastAsia="等线" w:hAnsi="Times New Roman"/>
          <w:color w:val="000000"/>
        </w:rPr>
        <w:t>Advised Mitsui &amp; Co., Ltd. on its acquisition of a 25% equity interest in a PRC company limited by shares engaging in coal mining, power generation, real property development and metallurgy</w:t>
      </w:r>
    </w:p>
    <w:p w14:paraId="35DC1F28" w14:textId="77777777" w:rsidR="002A014C" w:rsidRDefault="002A014C" w:rsidP="002A014C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A014C">
        <w:rPr>
          <w:rFonts w:ascii="等线" w:eastAsia="等线" w:hAnsi="Times New Roman"/>
          <w:color w:val="000000"/>
        </w:rPr>
        <w:t>Advised Oaktree on its disposal of Axilone Group</w:t>
      </w:r>
      <w:r w:rsidRPr="002A014C">
        <w:rPr>
          <w:rFonts w:ascii="等线" w:eastAsia="等线" w:hAnsi="Times New Roman"/>
          <w:color w:val="000000"/>
        </w:rPr>
        <w:t>’</w:t>
      </w:r>
      <w:r w:rsidRPr="002A014C">
        <w:rPr>
          <w:rFonts w:ascii="等线" w:eastAsia="等线" w:hAnsi="Times New Roman"/>
          <w:color w:val="000000"/>
        </w:rPr>
        <w:t>s global cosmetics packaging business in an auction sale</w:t>
      </w:r>
    </w:p>
    <w:p w14:paraId="10737C86" w14:textId="77777777" w:rsidR="002A014C" w:rsidRDefault="002A014C" w:rsidP="002A014C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A014C">
        <w:rPr>
          <w:rFonts w:ascii="等线" w:eastAsia="等线" w:hAnsi="Times New Roman"/>
          <w:color w:val="000000"/>
        </w:rPr>
        <w:t>Advised Oversea-Chinese Bank Corporation Limited on its establishment of South China Trust Co., Ltd., a Sino-foreign trust joint venture, with Aviation Industry Corporation of China and others</w:t>
      </w:r>
    </w:p>
    <w:p w14:paraId="57792BC3" w14:textId="77777777" w:rsidR="002A014C" w:rsidRDefault="002A014C" w:rsidP="002A014C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A014C">
        <w:rPr>
          <w:rFonts w:ascii="等线" w:eastAsia="等线" w:hAnsi="Times New Roman"/>
          <w:color w:val="000000"/>
        </w:rPr>
        <w:t>Advised Partners Group on its acquisition of a majority stake of BCR Group</w:t>
      </w:r>
    </w:p>
    <w:p w14:paraId="0FE04604" w14:textId="77777777" w:rsidR="002A014C" w:rsidRDefault="002A014C" w:rsidP="002A014C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A014C">
        <w:rPr>
          <w:rFonts w:ascii="等线" w:eastAsia="等线" w:hAnsi="Times New Roman"/>
          <w:color w:val="000000"/>
        </w:rPr>
        <w:t>Advised Spirit AeroSystems on forming two aviation joint ventures in Zhejiang</w:t>
      </w:r>
    </w:p>
    <w:p w14:paraId="24F1D6BE" w14:textId="77777777" w:rsidR="002A014C" w:rsidRDefault="002A014C" w:rsidP="002A014C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A014C">
        <w:rPr>
          <w:rFonts w:ascii="等线" w:eastAsia="等线" w:hAnsi="Times New Roman"/>
          <w:color w:val="000000"/>
        </w:rPr>
        <w:t>Advised Textron Inc. on its disposal of TT&amp;T business unit in China</w:t>
      </w:r>
    </w:p>
    <w:p w14:paraId="1A5B1607" w14:textId="77777777" w:rsidR="002A014C" w:rsidRDefault="002A014C" w:rsidP="002A014C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A014C">
        <w:rPr>
          <w:rFonts w:ascii="等线" w:eastAsia="等线" w:hAnsi="Times New Roman"/>
          <w:color w:val="000000"/>
        </w:rPr>
        <w:t>Advised Vopak on its LNG joint venture in Jiangsu</w:t>
      </w:r>
    </w:p>
    <w:p w14:paraId="2AF6C711" w14:textId="77777777" w:rsidR="002A014C" w:rsidRDefault="002A014C" w:rsidP="002A014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A014C">
        <w:rPr>
          <w:rFonts w:ascii="等线" w:eastAsia="等线" w:hAnsi="等线"/>
          <w:b/>
          <w:sz w:val="24"/>
        </w:rPr>
        <w:t>Education</w:t>
      </w:r>
    </w:p>
    <w:p w14:paraId="44840D01" w14:textId="77777777" w:rsidR="002A014C" w:rsidRDefault="002A014C" w:rsidP="002A014C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A014C">
        <w:rPr>
          <w:rFonts w:ascii="等线" w:eastAsia="等线" w:hAnsi="Times New Roman"/>
          <w:color w:val="000000"/>
        </w:rPr>
        <w:t>East China University of Political Science and Law, LL.B</w:t>
      </w:r>
    </w:p>
    <w:p w14:paraId="6BCC8121" w14:textId="77777777" w:rsidR="002A014C" w:rsidRDefault="002A014C" w:rsidP="002A014C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A014C">
        <w:rPr>
          <w:rFonts w:ascii="等线" w:eastAsia="等线" w:hAnsi="Times New Roman"/>
          <w:color w:val="000000"/>
        </w:rPr>
        <w:t>Columbia Law School, LL.M (Harlan Fiske Stone Scholar)</w:t>
      </w:r>
    </w:p>
    <w:p w14:paraId="0A0F8D17" w14:textId="77777777" w:rsidR="002A014C" w:rsidRDefault="002A014C" w:rsidP="002A014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A014C">
        <w:rPr>
          <w:rFonts w:ascii="等线" w:eastAsia="等线" w:hAnsi="等线"/>
          <w:b/>
          <w:sz w:val="24"/>
        </w:rPr>
        <w:t>Professional Qualification</w:t>
      </w:r>
    </w:p>
    <w:p w14:paraId="7BAC3E9F" w14:textId="77777777" w:rsidR="002A014C" w:rsidRDefault="002A014C" w:rsidP="002A014C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A014C">
        <w:rPr>
          <w:rFonts w:ascii="等线" w:eastAsia="等线" w:hAnsi="Times New Roman"/>
          <w:color w:val="000000"/>
        </w:rPr>
        <w:t>Admitted to practice in the PRC</w:t>
      </w:r>
    </w:p>
    <w:p w14:paraId="6CDFFAA3" w14:textId="77777777" w:rsidR="002A014C" w:rsidRDefault="002A014C" w:rsidP="002A014C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A014C">
        <w:rPr>
          <w:rFonts w:ascii="等线" w:eastAsia="等线" w:hAnsi="Times New Roman"/>
          <w:color w:val="000000"/>
        </w:rPr>
        <w:t>Admitted to practice in New York</w:t>
      </w:r>
    </w:p>
    <w:p w14:paraId="6CB8E300" w14:textId="77777777" w:rsidR="002A014C" w:rsidRDefault="002A014C" w:rsidP="002A014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A014C">
        <w:rPr>
          <w:rFonts w:ascii="等线" w:eastAsia="等线" w:hAnsi="等线"/>
          <w:b/>
          <w:sz w:val="24"/>
        </w:rPr>
        <w:t>Work Language</w:t>
      </w:r>
    </w:p>
    <w:p w14:paraId="21FA8775" w14:textId="77777777" w:rsidR="002A014C" w:rsidRDefault="002A014C" w:rsidP="002A014C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A014C">
        <w:rPr>
          <w:rFonts w:ascii="等线" w:eastAsia="等线" w:hAnsi="Times New Roman"/>
          <w:color w:val="000000"/>
        </w:rPr>
        <w:t>Mandarin</w:t>
      </w:r>
    </w:p>
    <w:p w14:paraId="2547CF13" w14:textId="77777777" w:rsidR="002A014C" w:rsidRDefault="002A014C" w:rsidP="002A014C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A014C">
        <w:rPr>
          <w:rFonts w:ascii="等线" w:eastAsia="等线" w:hAnsi="Times New Roman"/>
          <w:color w:val="000000"/>
        </w:rPr>
        <w:t>English</w:t>
      </w:r>
    </w:p>
    <w:p w14:paraId="2412511A" w14:textId="77777777" w:rsidR="002A014C" w:rsidRDefault="002A014C" w:rsidP="002A014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A014C">
        <w:rPr>
          <w:rFonts w:ascii="等线" w:eastAsia="等线" w:hAnsi="等线"/>
          <w:b/>
          <w:sz w:val="24"/>
        </w:rPr>
        <w:t>Professional Background</w:t>
      </w:r>
    </w:p>
    <w:p w14:paraId="5567FC3C" w14:textId="6DBE07DE" w:rsidR="00686369" w:rsidRPr="002A014C" w:rsidRDefault="002A014C" w:rsidP="002A014C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A014C">
        <w:rPr>
          <w:rFonts w:ascii="等线" w:eastAsia="等线" w:hAnsi="Times New Roman"/>
          <w:color w:val="000000"/>
        </w:rPr>
        <w:t>Mr. Ma joined Fangda Partners in 2015. Before joining the firm, he was a senior associate at Freshfields Bruckhaus Deringer LLP. Before that, he worked with a leading Chinese domestic firm.</w:t>
      </w:r>
    </w:p>
    <w:sectPr w:rsidR="00686369" w:rsidRPr="002A014C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20838"/>
    <w:multiLevelType w:val="singleLevel"/>
    <w:tmpl w:val="2752BB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4FB36AA"/>
    <w:multiLevelType w:val="singleLevel"/>
    <w:tmpl w:val="E51C08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5110833"/>
    <w:multiLevelType w:val="singleLevel"/>
    <w:tmpl w:val="ADE849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7027E61"/>
    <w:multiLevelType w:val="singleLevel"/>
    <w:tmpl w:val="9B4655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91D4A41"/>
    <w:multiLevelType w:val="singleLevel"/>
    <w:tmpl w:val="C71299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CEB4F59"/>
    <w:multiLevelType w:val="singleLevel"/>
    <w:tmpl w:val="E3BAE3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38A4B72"/>
    <w:multiLevelType w:val="singleLevel"/>
    <w:tmpl w:val="01F44D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D8403FD"/>
    <w:multiLevelType w:val="singleLevel"/>
    <w:tmpl w:val="3B1C2A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C515B26"/>
    <w:multiLevelType w:val="singleLevel"/>
    <w:tmpl w:val="5BE854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2FAC102C"/>
    <w:multiLevelType w:val="singleLevel"/>
    <w:tmpl w:val="4BB4C4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156781C"/>
    <w:multiLevelType w:val="singleLevel"/>
    <w:tmpl w:val="B016C2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3F20057"/>
    <w:multiLevelType w:val="singleLevel"/>
    <w:tmpl w:val="8D5EFC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63C5ADA"/>
    <w:multiLevelType w:val="singleLevel"/>
    <w:tmpl w:val="CAB62B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6C72CAE"/>
    <w:multiLevelType w:val="singleLevel"/>
    <w:tmpl w:val="5C8009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407F07E1"/>
    <w:multiLevelType w:val="singleLevel"/>
    <w:tmpl w:val="3C40BE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18A181E"/>
    <w:multiLevelType w:val="singleLevel"/>
    <w:tmpl w:val="A10E1D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2167E96"/>
    <w:multiLevelType w:val="singleLevel"/>
    <w:tmpl w:val="A27860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77D5698"/>
    <w:multiLevelType w:val="singleLevel"/>
    <w:tmpl w:val="60B2E2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7F96580"/>
    <w:multiLevelType w:val="singleLevel"/>
    <w:tmpl w:val="53DEF6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EFA16D8"/>
    <w:multiLevelType w:val="singleLevel"/>
    <w:tmpl w:val="4FF852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E1C0F8B"/>
    <w:multiLevelType w:val="singleLevel"/>
    <w:tmpl w:val="6D1AEC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F2E2332"/>
    <w:multiLevelType w:val="singleLevel"/>
    <w:tmpl w:val="ED6A7B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1653532"/>
    <w:multiLevelType w:val="singleLevel"/>
    <w:tmpl w:val="A08479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2244A92"/>
    <w:multiLevelType w:val="singleLevel"/>
    <w:tmpl w:val="CF8A62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4223A14"/>
    <w:multiLevelType w:val="singleLevel"/>
    <w:tmpl w:val="AC0277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747494C"/>
    <w:multiLevelType w:val="singleLevel"/>
    <w:tmpl w:val="4FA499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7492DFD"/>
    <w:multiLevelType w:val="singleLevel"/>
    <w:tmpl w:val="DF7ACF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EFD2DE9"/>
    <w:multiLevelType w:val="singleLevel"/>
    <w:tmpl w:val="10DC07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3DA53F7"/>
    <w:multiLevelType w:val="singleLevel"/>
    <w:tmpl w:val="06D0AE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7276713"/>
    <w:multiLevelType w:val="singleLevel"/>
    <w:tmpl w:val="5C8009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9F91F79"/>
    <w:multiLevelType w:val="singleLevel"/>
    <w:tmpl w:val="297830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5"/>
  </w:num>
  <w:num w:numId="3">
    <w:abstractNumId w:val="21"/>
  </w:num>
  <w:num w:numId="4">
    <w:abstractNumId w:val="17"/>
  </w:num>
  <w:num w:numId="5">
    <w:abstractNumId w:val="24"/>
  </w:num>
  <w:num w:numId="6">
    <w:abstractNumId w:val="7"/>
  </w:num>
  <w:num w:numId="7">
    <w:abstractNumId w:val="6"/>
  </w:num>
  <w:num w:numId="8">
    <w:abstractNumId w:val="11"/>
  </w:num>
  <w:num w:numId="9">
    <w:abstractNumId w:val="8"/>
  </w:num>
  <w:num w:numId="10">
    <w:abstractNumId w:val="22"/>
  </w:num>
  <w:num w:numId="11">
    <w:abstractNumId w:val="20"/>
  </w:num>
  <w:num w:numId="12">
    <w:abstractNumId w:val="10"/>
  </w:num>
  <w:num w:numId="13">
    <w:abstractNumId w:val="5"/>
  </w:num>
  <w:num w:numId="14">
    <w:abstractNumId w:val="29"/>
  </w:num>
  <w:num w:numId="15">
    <w:abstractNumId w:val="32"/>
  </w:num>
  <w:num w:numId="16">
    <w:abstractNumId w:val="28"/>
  </w:num>
  <w:num w:numId="17">
    <w:abstractNumId w:val="26"/>
  </w:num>
  <w:num w:numId="18">
    <w:abstractNumId w:val="4"/>
  </w:num>
  <w:num w:numId="19">
    <w:abstractNumId w:val="13"/>
  </w:num>
  <w:num w:numId="20">
    <w:abstractNumId w:val="12"/>
  </w:num>
  <w:num w:numId="21">
    <w:abstractNumId w:val="27"/>
  </w:num>
  <w:num w:numId="22">
    <w:abstractNumId w:val="30"/>
  </w:num>
  <w:num w:numId="23">
    <w:abstractNumId w:val="1"/>
  </w:num>
  <w:num w:numId="24">
    <w:abstractNumId w:val="19"/>
  </w:num>
  <w:num w:numId="25">
    <w:abstractNumId w:val="3"/>
  </w:num>
  <w:num w:numId="26">
    <w:abstractNumId w:val="16"/>
  </w:num>
  <w:num w:numId="27">
    <w:abstractNumId w:val="2"/>
  </w:num>
  <w:num w:numId="28">
    <w:abstractNumId w:val="25"/>
  </w:num>
  <w:num w:numId="29">
    <w:abstractNumId w:val="23"/>
  </w:num>
  <w:num w:numId="30">
    <w:abstractNumId w:val="0"/>
  </w:num>
  <w:num w:numId="31">
    <w:abstractNumId w:val="18"/>
  </w:num>
  <w:num w:numId="32">
    <w:abstractNumId w:val="31"/>
  </w:num>
  <w:num w:numId="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014C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2A014C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2A014C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1DAD444-B969-4095-BC95-D42089C4E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518</Words>
  <Characters>2954</Characters>
  <Application>Microsoft Office Word</Application>
  <DocSecurity>0</DocSecurity>
  <Lines>24</Lines>
  <Paragraphs>6</Paragraphs>
  <ScaleCrop>false</ScaleCrop>
  <Company/>
  <LinksUpToDate>false</LinksUpToDate>
  <CharactersWithSpaces>3466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2026-08-07T05:28:00Z</dcterms:created>
  <dcterms:modified xsi:type="dcterms:W3CDTF">2026-08-07T05:28:00Z</dcterms:modified>
</cp:coreProperties>
</file>