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1444AE" w:rsidR="0049405C" w:rsidRPr="00C24D79" w:rsidRDefault="00F847F7" w:rsidP="00F847F7">
            <w:pPr>
              <w:spacing w:line="720" w:lineRule="auto"/>
              <w:rPr>
                <w:rFonts w:eastAsiaTheme="minorHAnsi"/>
                <w:color w:val="545551"/>
              </w:rPr>
            </w:pPr>
            <w:bookmarkStart w:id="0" w:name="xingming"/>
            <w:bookmarkStart w:id="1" w:name="_GoBack"/>
            <w:bookmarkEnd w:id="1"/>
            <w:r w:rsidRPr="00F847F7">
              <w:rPr>
                <w:rFonts w:ascii="等线" w:eastAsia="等线" w:hAnsi="Times New Roman"/>
                <w:b/>
                <w:color w:val="000000"/>
                <w:sz w:val="48"/>
              </w:rPr>
              <w:t>MARIA WANG</w:t>
            </w:r>
            <w:bookmarkEnd w:id="0"/>
          </w:p>
          <w:p w14:paraId="706EB16B" w14:textId="5F9BB787" w:rsidR="0049405C" w:rsidRPr="00C24D79" w:rsidRDefault="00F847F7" w:rsidP="00F847F7">
            <w:pPr>
              <w:spacing w:line="360" w:lineRule="auto"/>
              <w:rPr>
                <w:rFonts w:eastAsiaTheme="minorHAnsi"/>
                <w:b/>
                <w:bCs/>
                <w:color w:val="545551"/>
              </w:rPr>
            </w:pPr>
            <w:bookmarkStart w:id="2" w:name="didian"/>
            <w:r w:rsidRPr="00F847F7">
              <w:rPr>
                <w:rFonts w:ascii="等线" w:eastAsia="等线" w:hAnsi="Times New Roman"/>
                <w:b/>
                <w:bCs/>
                <w:color w:val="000000"/>
              </w:rPr>
              <w:t>Partner</w:t>
            </w:r>
            <w:r w:rsidRPr="00F847F7">
              <w:rPr>
                <w:rFonts w:ascii="等线" w:eastAsia="等线" w:hAnsi="Times New Roman"/>
                <w:b/>
                <w:bCs/>
                <w:color w:val="000000"/>
              </w:rPr>
              <w:t>·</w:t>
            </w:r>
            <w:r w:rsidRPr="00F847F7">
              <w:rPr>
                <w:rFonts w:ascii="等线" w:eastAsia="等线" w:hAnsi="Times New Roman"/>
                <w:b/>
                <w:bCs/>
                <w:color w:val="000000"/>
              </w:rPr>
              <w:t>Hong Kong,Shanghai</w:t>
            </w:r>
            <w:bookmarkEnd w:id="2"/>
          </w:p>
          <w:p w14:paraId="6199424A" w14:textId="73DC9AAB" w:rsidR="0049405C" w:rsidRPr="00C24D79" w:rsidRDefault="00F847F7" w:rsidP="00F847F7">
            <w:pPr>
              <w:spacing w:line="360" w:lineRule="auto"/>
              <w:rPr>
                <w:rFonts w:eastAsiaTheme="minorHAnsi"/>
                <w:color w:val="545551"/>
              </w:rPr>
            </w:pPr>
            <w:bookmarkStart w:id="3" w:name="dianhua"/>
            <w:r w:rsidRPr="00F847F7">
              <w:rPr>
                <w:rFonts w:ascii="等线" w:eastAsia="等线" w:hAnsi="Times New Roman"/>
                <w:color w:val="000000"/>
              </w:rPr>
              <w:t xml:space="preserve">+86 21 6263 5976/+852 3749 1157 / +86 1360 173 6085/+852 6366 2062 </w:t>
            </w:r>
            <w:bookmarkEnd w:id="3"/>
          </w:p>
          <w:p w14:paraId="4F910ACA" w14:textId="71269026" w:rsidR="0049405C" w:rsidRPr="00C24D79" w:rsidRDefault="00F847F7" w:rsidP="00F847F7">
            <w:pPr>
              <w:spacing w:line="360" w:lineRule="auto"/>
              <w:rPr>
                <w:rFonts w:eastAsiaTheme="minorHAnsi"/>
                <w:color w:val="000000"/>
              </w:rPr>
            </w:pPr>
            <w:bookmarkStart w:id="4" w:name="youxiang"/>
            <w:r w:rsidRPr="00F847F7">
              <w:rPr>
                <w:rFonts w:ascii="等线" w:eastAsia="等线" w:hAnsi="Times New Roman"/>
                <w:color w:val="000000"/>
              </w:rPr>
              <w:t>maria.wang@fangdalaw.com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3AADFF" w:rsidR="0049405C" w:rsidRPr="00C24D79" w:rsidRDefault="00F847F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4321443" wp14:editId="7EDD13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1D7807" w:rsidR="009465FB" w:rsidRPr="00C24D79" w:rsidRDefault="00F847F7" w:rsidP="007177F3">
            <w:pPr>
              <w:rPr>
                <w:rFonts w:eastAsiaTheme="minorHAnsi"/>
                <w:color w:val="000000"/>
                <w:szCs w:val="21"/>
              </w:rPr>
            </w:pPr>
            <w:bookmarkStart w:id="6" w:name="zhiyelingyu"/>
            <w:r w:rsidRPr="00F847F7">
              <w:rPr>
                <w:rFonts w:ascii="等线" w:eastAsia="等线" w:hAnsi="Times New Roman"/>
                <w:color w:val="000000"/>
                <w:szCs w:val="21"/>
              </w:rPr>
              <w:t>MS. WANG SPECIALIZES IN REAL ESTATE M&amp;A TRANSACTIONS, INCLUDING COMPLEX MERGERS AND ACQUISITIONS, JOINT VENTURES, DISPOSALS AND PROJECT DEVELOPMENTS AND MANAGEMENT. MS. WANG ALSO HAS EXTENSIVE EXPERIENCE IN CROSS-BORDER FINANCING TRANSACTIONS, INCLUDING ACQUISITION/LEVERAGE FINANCING, REAL ESTATE FINANCING, STRUCTURED FINANCING AND GENERAL CORPORATE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2B72A2" w14:textId="77777777" w:rsidR="00F847F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9A9AA8" w14:textId="77777777" w:rsidR="00F847F7" w:rsidRDefault="00F847F7" w:rsidP="00F847F7">
      <w:pPr>
        <w:pStyle w:val="af5"/>
        <w:spacing w:after="0" w:line="480" w:lineRule="auto"/>
        <w:rPr>
          <w:rFonts w:ascii="等线" w:eastAsia="等线" w:hAnsi="等线"/>
          <w:b/>
          <w:sz w:val="24"/>
        </w:rPr>
      </w:pPr>
      <w:r w:rsidRPr="00F847F7">
        <w:rPr>
          <w:rFonts w:ascii="等线" w:eastAsia="等线" w:hAnsi="等线"/>
          <w:b/>
          <w:sz w:val="24"/>
        </w:rPr>
        <w:t>REPRESENTATIVE MATTERS AND CASES</w:t>
      </w:r>
    </w:p>
    <w:p w14:paraId="540AE05D" w14:textId="77777777" w:rsidR="00F847F7" w:rsidRDefault="00F847F7" w:rsidP="00F847F7">
      <w:pPr>
        <w:pStyle w:val="af5"/>
        <w:spacing w:before="120"/>
        <w:rPr>
          <w:rFonts w:ascii="等线" w:eastAsia="等线" w:hAnsi="Times New Roman"/>
          <w:color w:val="000000"/>
        </w:rPr>
      </w:pPr>
      <w:r w:rsidRPr="00F847F7">
        <w:rPr>
          <w:rFonts w:ascii="等线" w:eastAsia="等线" w:hAnsi="Times New Roman"/>
          <w:color w:val="000000"/>
        </w:rPr>
        <w:t>REAL ESTATE M&amp;A MATTERS</w:t>
      </w:r>
    </w:p>
    <w:p w14:paraId="02DB8D4F" w14:textId="77777777" w:rsidR="00F847F7" w:rsidRDefault="00F847F7" w:rsidP="00F847F7">
      <w:pPr>
        <w:pStyle w:val="af5"/>
        <w:numPr>
          <w:ilvl w:val="0"/>
          <w:numId w:val="4"/>
        </w:numPr>
        <w:spacing w:before="120"/>
        <w:ind w:left="690" w:hanging="240"/>
        <w:rPr>
          <w:rFonts w:ascii="等线" w:eastAsia="等线" w:hAnsi="Times New Roman"/>
          <w:color w:val="000000"/>
        </w:rPr>
      </w:pPr>
      <w:r w:rsidRPr="00F847F7">
        <w:rPr>
          <w:rFonts w:ascii="等线" w:eastAsia="等线" w:hAnsi="Times New Roman"/>
          <w:color w:val="000000"/>
        </w:rPr>
        <w:t>Represented an international institutional investor in forming a joint-venture with Sigma Delta Partners Investment for the acquisition of the U-Show Plaza mixed-use project in Beijing. The transaction involved formation of an upper level single purpose fund and a joint venture company, as well as acquisition and related financing aspects</w:t>
      </w:r>
    </w:p>
    <w:p w14:paraId="6EDE2D26" w14:textId="77777777" w:rsidR="00F847F7" w:rsidRDefault="00F847F7" w:rsidP="00F847F7">
      <w:pPr>
        <w:pStyle w:val="af5"/>
        <w:numPr>
          <w:ilvl w:val="0"/>
          <w:numId w:val="5"/>
        </w:numPr>
        <w:spacing w:before="120"/>
        <w:ind w:left="690" w:hanging="240"/>
        <w:rPr>
          <w:rFonts w:ascii="等线" w:eastAsia="等线" w:hAnsi="Times New Roman"/>
          <w:color w:val="000000"/>
        </w:rPr>
      </w:pPr>
      <w:r w:rsidRPr="00F847F7">
        <w:rPr>
          <w:rFonts w:ascii="等线" w:eastAsia="等线" w:hAnsi="Times New Roman"/>
          <w:color w:val="000000"/>
        </w:rPr>
        <w:t>Represented SilkRoad Property Partners on its acquisition and financing of two community shopping malls in Shanghai from Vanke Group</w:t>
      </w:r>
    </w:p>
    <w:p w14:paraId="6B2D8ADE" w14:textId="77777777" w:rsidR="00F847F7" w:rsidRDefault="00F847F7" w:rsidP="00F847F7">
      <w:pPr>
        <w:pStyle w:val="af5"/>
        <w:numPr>
          <w:ilvl w:val="0"/>
          <w:numId w:val="6"/>
        </w:numPr>
        <w:spacing w:before="120"/>
        <w:ind w:left="690" w:hanging="240"/>
        <w:rPr>
          <w:rFonts w:ascii="等线" w:eastAsia="等线" w:hAnsi="Times New Roman"/>
          <w:color w:val="000000"/>
        </w:rPr>
      </w:pPr>
      <w:r w:rsidRPr="00F847F7">
        <w:rPr>
          <w:rFonts w:ascii="等线" w:eastAsia="等线" w:hAnsi="Times New Roman"/>
          <w:color w:val="000000"/>
        </w:rPr>
        <w:t>Represented Warburg Pincus in its up to $300 million investment in its joint venture with Creater, a Shanghai-based urban renewal operator. The group will target to acquire and redevelop real estate projects in China</w:t>
      </w:r>
      <w:r w:rsidRPr="00F847F7">
        <w:rPr>
          <w:rFonts w:ascii="等线" w:eastAsia="等线" w:hAnsi="Times New Roman"/>
          <w:color w:val="000000"/>
        </w:rPr>
        <w:t>’</w:t>
      </w:r>
      <w:r w:rsidRPr="00F847F7">
        <w:rPr>
          <w:rFonts w:ascii="等线" w:eastAsia="等线" w:hAnsi="Times New Roman"/>
          <w:color w:val="000000"/>
        </w:rPr>
        <w:t>s first-tier cities to convert old and underutilized buildings into modern office, retail and exhibition uses</w:t>
      </w:r>
    </w:p>
    <w:p w14:paraId="6BF3C5F8" w14:textId="77777777" w:rsidR="00F847F7" w:rsidRDefault="00F847F7" w:rsidP="00F847F7">
      <w:pPr>
        <w:pStyle w:val="af5"/>
        <w:numPr>
          <w:ilvl w:val="0"/>
          <w:numId w:val="7"/>
        </w:numPr>
        <w:spacing w:before="120"/>
        <w:ind w:left="690" w:hanging="240"/>
        <w:rPr>
          <w:rFonts w:ascii="等线" w:eastAsia="等线" w:hAnsi="Times New Roman"/>
          <w:color w:val="000000"/>
        </w:rPr>
      </w:pPr>
      <w:r w:rsidRPr="00F847F7">
        <w:rPr>
          <w:rFonts w:ascii="等线" w:eastAsia="等线" w:hAnsi="Times New Roman"/>
          <w:color w:val="000000"/>
        </w:rPr>
        <w:t>Represented Morgan Stanley Real Estate in its disposal of 100% interest in a logistics center in Wuxi, Jiangshu Province to an offshore SPV established by ESR</w:t>
      </w:r>
    </w:p>
    <w:p w14:paraId="34A3C970" w14:textId="77777777" w:rsidR="00F847F7" w:rsidRDefault="00F847F7" w:rsidP="00F847F7">
      <w:pPr>
        <w:pStyle w:val="af5"/>
        <w:numPr>
          <w:ilvl w:val="0"/>
          <w:numId w:val="8"/>
        </w:numPr>
        <w:spacing w:before="120"/>
        <w:ind w:left="690" w:hanging="240"/>
        <w:rPr>
          <w:rFonts w:ascii="等线" w:eastAsia="等线" w:hAnsi="Times New Roman"/>
          <w:color w:val="000000"/>
        </w:rPr>
      </w:pPr>
      <w:r w:rsidRPr="00F847F7">
        <w:rPr>
          <w:rFonts w:ascii="等线" w:eastAsia="等线" w:hAnsi="Times New Roman"/>
          <w:color w:val="000000"/>
        </w:rPr>
        <w:t>Represented Morgan Stanley Real Estate in its acquisition of 100% interest in a logistics center in Dongguan, Guangdong Province from a Hong Kong seller</w:t>
      </w:r>
    </w:p>
    <w:p w14:paraId="10B16632" w14:textId="77777777" w:rsidR="00F847F7" w:rsidRDefault="00F847F7" w:rsidP="00F847F7">
      <w:pPr>
        <w:pStyle w:val="af5"/>
        <w:numPr>
          <w:ilvl w:val="0"/>
          <w:numId w:val="9"/>
        </w:numPr>
        <w:spacing w:before="120"/>
        <w:ind w:left="690" w:hanging="240"/>
        <w:rPr>
          <w:rFonts w:ascii="等线" w:eastAsia="等线" w:hAnsi="Times New Roman"/>
          <w:color w:val="000000"/>
        </w:rPr>
      </w:pPr>
      <w:r w:rsidRPr="00F847F7">
        <w:rPr>
          <w:rFonts w:ascii="等线" w:eastAsia="等线" w:hAnsi="Times New Roman"/>
          <w:color w:val="000000"/>
        </w:rPr>
        <w:t>Represented Bain Capital Credit in its US$300 million convertible note investment in D&amp;J China, a leading integrated industrial properties and service platform provider in China co-founded by Warburg Pincus</w:t>
      </w:r>
    </w:p>
    <w:p w14:paraId="7CFFE882" w14:textId="77777777" w:rsidR="00F847F7" w:rsidRDefault="00F847F7" w:rsidP="00F847F7">
      <w:pPr>
        <w:pStyle w:val="af5"/>
        <w:numPr>
          <w:ilvl w:val="0"/>
          <w:numId w:val="10"/>
        </w:numPr>
        <w:spacing w:before="120"/>
        <w:ind w:left="690" w:hanging="240"/>
        <w:rPr>
          <w:rFonts w:ascii="等线" w:eastAsia="等线" w:hAnsi="Times New Roman"/>
          <w:color w:val="000000"/>
        </w:rPr>
      </w:pPr>
      <w:r w:rsidRPr="00F847F7">
        <w:rPr>
          <w:rFonts w:ascii="等线" w:eastAsia="等线" w:hAnsi="Times New Roman"/>
          <w:color w:val="000000"/>
        </w:rPr>
        <w:t>Represented Itochu Corporation in its exit from multiple offshore joint ventures with Mapletree which operate logistic properties throughout various cities in China</w:t>
      </w:r>
    </w:p>
    <w:p w14:paraId="37C80E55" w14:textId="77777777" w:rsidR="00F847F7" w:rsidRDefault="00F847F7" w:rsidP="00F847F7">
      <w:pPr>
        <w:pStyle w:val="af5"/>
        <w:numPr>
          <w:ilvl w:val="0"/>
          <w:numId w:val="11"/>
        </w:numPr>
        <w:spacing w:before="120"/>
        <w:ind w:left="690" w:hanging="240"/>
        <w:rPr>
          <w:rFonts w:ascii="等线" w:eastAsia="等线" w:hAnsi="Times New Roman"/>
          <w:color w:val="000000"/>
        </w:rPr>
      </w:pPr>
      <w:r w:rsidRPr="00F847F7">
        <w:rPr>
          <w:rFonts w:ascii="等线" w:eastAsia="等线" w:hAnsi="Times New Roman"/>
          <w:color w:val="000000"/>
        </w:rPr>
        <w:t>Represented KHI, a Hong Kong private investment fund, in its acquisition of a majority interest in Crystal Galleria, a grade-A office building in Jing</w:t>
      </w:r>
      <w:r w:rsidRPr="00F847F7">
        <w:rPr>
          <w:rFonts w:ascii="等线" w:eastAsia="等线" w:hAnsi="Times New Roman"/>
          <w:color w:val="000000"/>
        </w:rPr>
        <w:t>’</w:t>
      </w:r>
      <w:r w:rsidRPr="00F847F7">
        <w:rPr>
          <w:rFonts w:ascii="等线" w:eastAsia="等线" w:hAnsi="Times New Roman"/>
          <w:color w:val="000000"/>
        </w:rPr>
        <w:t>an Temple, Jing</w:t>
      </w:r>
      <w:r w:rsidRPr="00F847F7">
        <w:rPr>
          <w:rFonts w:ascii="等线" w:eastAsia="等线" w:hAnsi="Times New Roman"/>
          <w:color w:val="000000"/>
        </w:rPr>
        <w:t>’</w:t>
      </w:r>
      <w:r w:rsidRPr="00F847F7">
        <w:rPr>
          <w:rFonts w:ascii="等线" w:eastAsia="等线" w:hAnsi="Times New Roman"/>
          <w:color w:val="000000"/>
        </w:rPr>
        <w:t>an District, Shanghai, and a joint venture with the seller</w:t>
      </w:r>
    </w:p>
    <w:p w14:paraId="733ED43A" w14:textId="77777777" w:rsidR="00F847F7" w:rsidRDefault="00F847F7" w:rsidP="00F847F7">
      <w:pPr>
        <w:pStyle w:val="af5"/>
        <w:numPr>
          <w:ilvl w:val="0"/>
          <w:numId w:val="12"/>
        </w:numPr>
        <w:spacing w:before="120"/>
        <w:ind w:left="690" w:hanging="240"/>
        <w:rPr>
          <w:rFonts w:ascii="等线" w:eastAsia="等线" w:hAnsi="Times New Roman"/>
          <w:color w:val="000000"/>
        </w:rPr>
      </w:pPr>
      <w:r w:rsidRPr="00F847F7">
        <w:rPr>
          <w:rFonts w:ascii="等线" w:eastAsia="等线" w:hAnsi="Times New Roman"/>
          <w:color w:val="000000"/>
        </w:rPr>
        <w:t>Represented a number of Manulife</w:t>
      </w:r>
      <w:r w:rsidRPr="00F847F7">
        <w:rPr>
          <w:rFonts w:ascii="等线" w:eastAsia="等线" w:hAnsi="Times New Roman"/>
          <w:color w:val="000000"/>
        </w:rPr>
        <w:t>’</w:t>
      </w:r>
      <w:r w:rsidRPr="00F847F7">
        <w:rPr>
          <w:rFonts w:ascii="等线" w:eastAsia="等线" w:hAnsi="Times New Roman"/>
          <w:color w:val="000000"/>
        </w:rPr>
        <w:t>s entities in forming an offshore investment venture with other investors, with the venture managed by Shui On Land, the venture will target in acquiring and investing in core commercial real estate assets in China, with the first asset to be acquired by the venture being Corporate Avenue 5 (a grade A office building located in Xintiandi, Shanghai)</w:t>
      </w:r>
    </w:p>
    <w:p w14:paraId="2EBB57EA" w14:textId="77777777" w:rsidR="00F847F7" w:rsidRDefault="00F847F7" w:rsidP="00F847F7">
      <w:pPr>
        <w:pStyle w:val="af5"/>
        <w:numPr>
          <w:ilvl w:val="0"/>
          <w:numId w:val="13"/>
        </w:numPr>
        <w:spacing w:before="120"/>
        <w:ind w:left="690" w:hanging="240"/>
        <w:rPr>
          <w:rFonts w:ascii="等线" w:eastAsia="等线" w:hAnsi="Times New Roman"/>
          <w:color w:val="000000"/>
        </w:rPr>
      </w:pPr>
      <w:r w:rsidRPr="00F847F7">
        <w:rPr>
          <w:rFonts w:ascii="等线" w:eastAsia="等线" w:hAnsi="Times New Roman"/>
          <w:color w:val="000000"/>
        </w:rPr>
        <w:t>Represented GLP China in its proposed acquisition of a portfolio of logistic properties from EBA, the property investment arm owned and operated by Everbright</w:t>
      </w:r>
    </w:p>
    <w:p w14:paraId="26C47FF3" w14:textId="77777777" w:rsidR="00F847F7" w:rsidRDefault="00F847F7" w:rsidP="00F847F7">
      <w:pPr>
        <w:pStyle w:val="af5"/>
        <w:numPr>
          <w:ilvl w:val="0"/>
          <w:numId w:val="14"/>
        </w:numPr>
        <w:spacing w:before="120"/>
        <w:ind w:left="690" w:hanging="240"/>
        <w:rPr>
          <w:rFonts w:ascii="等线" w:eastAsia="等线" w:hAnsi="Times New Roman"/>
          <w:color w:val="000000"/>
        </w:rPr>
      </w:pPr>
      <w:r w:rsidRPr="00F847F7">
        <w:rPr>
          <w:rFonts w:ascii="等线" w:eastAsia="等线" w:hAnsi="Times New Roman"/>
          <w:color w:val="000000"/>
        </w:rPr>
        <w:t>Represented SilkRoad Property Partners on its RMB 527 million acquisition and financing of an office building in Minhang, Shanghai from a PRC subsidiary of a Singapore real estate development, investment and capital management company</w:t>
      </w:r>
    </w:p>
    <w:p w14:paraId="6A238B02" w14:textId="77777777" w:rsidR="00F847F7" w:rsidRDefault="00F847F7" w:rsidP="00F847F7">
      <w:pPr>
        <w:pStyle w:val="af5"/>
        <w:numPr>
          <w:ilvl w:val="0"/>
          <w:numId w:val="15"/>
        </w:numPr>
        <w:spacing w:before="120"/>
        <w:ind w:left="690" w:hanging="240"/>
        <w:rPr>
          <w:rFonts w:ascii="等线" w:eastAsia="等线" w:hAnsi="Times New Roman"/>
          <w:color w:val="000000"/>
        </w:rPr>
      </w:pPr>
      <w:r w:rsidRPr="00F847F7">
        <w:rPr>
          <w:rFonts w:ascii="等线" w:eastAsia="等线" w:hAnsi="Times New Roman"/>
          <w:color w:val="000000"/>
        </w:rPr>
        <w:t>Represented a real estate fund managed by LaSalle Investment Management, the investment arm of the NYSE-listed commercial real estate firm JLL, in its acquisition of an offshore holding company which indirectly own a 31-storey, grade A office building in Hongkou District, Shanghai from Alpha Investment Partners, a part of Keppel Group's asset management arm Keppel Capital</w:t>
      </w:r>
    </w:p>
    <w:p w14:paraId="4A0EBD46" w14:textId="77777777" w:rsidR="00F847F7" w:rsidRDefault="00F847F7" w:rsidP="00F847F7">
      <w:pPr>
        <w:pStyle w:val="af5"/>
        <w:numPr>
          <w:ilvl w:val="0"/>
          <w:numId w:val="16"/>
        </w:numPr>
        <w:spacing w:before="120"/>
        <w:ind w:left="690" w:hanging="240"/>
        <w:rPr>
          <w:rFonts w:ascii="等线" w:eastAsia="等线" w:hAnsi="Times New Roman"/>
          <w:color w:val="000000"/>
        </w:rPr>
      </w:pPr>
      <w:r w:rsidRPr="00F847F7">
        <w:rPr>
          <w:rFonts w:ascii="等线" w:eastAsia="等线" w:hAnsi="Times New Roman"/>
          <w:color w:val="000000"/>
        </w:rPr>
        <w:t>Represented clients advised by BlackRock Real Estate in their acquisition of an offshore holding company which indirectly own two blocks of grade-A office buildings in Changning, Shanghai from PGIM Real Estate, a property investment affiliate of Prudential Financial</w:t>
      </w:r>
    </w:p>
    <w:p w14:paraId="5141EA8D" w14:textId="77777777" w:rsidR="00F847F7" w:rsidRDefault="00F847F7" w:rsidP="00F847F7">
      <w:pPr>
        <w:pStyle w:val="af5"/>
        <w:numPr>
          <w:ilvl w:val="0"/>
          <w:numId w:val="17"/>
        </w:numPr>
        <w:spacing w:before="120"/>
        <w:ind w:left="690" w:hanging="240"/>
        <w:rPr>
          <w:rFonts w:ascii="等线" w:eastAsia="等线" w:hAnsi="Times New Roman"/>
          <w:color w:val="000000"/>
        </w:rPr>
      </w:pPr>
      <w:r w:rsidRPr="00F847F7">
        <w:rPr>
          <w:rFonts w:ascii="等线" w:eastAsia="等线" w:hAnsi="Times New Roman"/>
          <w:color w:val="000000"/>
        </w:rPr>
        <w:t>Represented Itochu Corporation in its multiple offshore joint ventures with Mapletree which operate more than 14 logistic properties throughout various cities in China</w:t>
      </w:r>
    </w:p>
    <w:p w14:paraId="26FE4E7F" w14:textId="77777777" w:rsidR="00F847F7" w:rsidRDefault="00F847F7" w:rsidP="00F847F7">
      <w:pPr>
        <w:pStyle w:val="af5"/>
        <w:numPr>
          <w:ilvl w:val="0"/>
          <w:numId w:val="18"/>
        </w:numPr>
        <w:spacing w:before="120"/>
        <w:ind w:left="690" w:hanging="240"/>
        <w:rPr>
          <w:rFonts w:ascii="等线" w:eastAsia="等线" w:hAnsi="Times New Roman"/>
          <w:color w:val="000000"/>
        </w:rPr>
      </w:pPr>
      <w:r w:rsidRPr="00F847F7">
        <w:rPr>
          <w:rFonts w:ascii="等线" w:eastAsia="等线" w:hAnsi="Times New Roman"/>
          <w:color w:val="000000"/>
        </w:rPr>
        <w:t>Represented Brookfield in its pre-IPO US$500 million investment (with an ability to subscribe for a further US$250 million) in convertible perpetual securities in China Xintiandi, the offshore holding company in the Shui On Land group owning interests in a portfolio of real estate assets in prime Shanghai locations including Xintiandi, Corporate Avenue 1，Corporate Avenue 2, Xintiandi Style and the Hongqiao Hub development</w:t>
      </w:r>
    </w:p>
    <w:p w14:paraId="10FE2387" w14:textId="77777777" w:rsidR="00F847F7" w:rsidRDefault="00F847F7" w:rsidP="00F847F7">
      <w:pPr>
        <w:pStyle w:val="af5"/>
        <w:numPr>
          <w:ilvl w:val="0"/>
          <w:numId w:val="19"/>
        </w:numPr>
        <w:spacing w:before="120"/>
        <w:ind w:left="690" w:hanging="240"/>
        <w:rPr>
          <w:rFonts w:ascii="等线" w:eastAsia="等线" w:hAnsi="Times New Roman"/>
          <w:color w:val="000000"/>
        </w:rPr>
      </w:pPr>
      <w:r w:rsidRPr="00F847F7">
        <w:rPr>
          <w:rFonts w:ascii="等线" w:eastAsia="等线" w:hAnsi="Times New Roman"/>
          <w:color w:val="000000"/>
        </w:rPr>
        <w:t>Represented Morgan Stanley Real Estate in its offshore joint venture with a Chinese logistic operator for purpose of rolling out multiple investments in international standard logistic centers in China. This platform will make its first investment in a logistic center in Hangzhou, Zhejiang Province, China</w:t>
      </w:r>
    </w:p>
    <w:p w14:paraId="2514EB12" w14:textId="77777777" w:rsidR="00F847F7" w:rsidRDefault="00F847F7" w:rsidP="00F847F7">
      <w:pPr>
        <w:pStyle w:val="af5"/>
        <w:numPr>
          <w:ilvl w:val="0"/>
          <w:numId w:val="20"/>
        </w:numPr>
        <w:spacing w:before="120"/>
        <w:ind w:left="690" w:hanging="240"/>
        <w:rPr>
          <w:rFonts w:ascii="等线" w:eastAsia="等线" w:hAnsi="Times New Roman"/>
          <w:color w:val="000000"/>
        </w:rPr>
      </w:pPr>
      <w:r w:rsidRPr="00F847F7">
        <w:rPr>
          <w:rFonts w:ascii="等线" w:eastAsia="等线" w:hAnsi="Times New Roman"/>
          <w:color w:val="000000"/>
        </w:rPr>
        <w:t>Represented Oaktree Capital on its subscription of shares in an offshore holding company which indirectly own portfolio of business and industrial parks in China</w:t>
      </w:r>
    </w:p>
    <w:p w14:paraId="2FFB706C" w14:textId="77777777" w:rsidR="00F847F7" w:rsidRDefault="00F847F7" w:rsidP="00F847F7">
      <w:pPr>
        <w:pStyle w:val="af5"/>
        <w:numPr>
          <w:ilvl w:val="0"/>
          <w:numId w:val="21"/>
        </w:numPr>
        <w:spacing w:before="120"/>
        <w:ind w:left="690" w:hanging="240"/>
        <w:rPr>
          <w:rFonts w:ascii="等线" w:eastAsia="等线" w:hAnsi="Times New Roman"/>
          <w:color w:val="000000"/>
        </w:rPr>
      </w:pPr>
      <w:r w:rsidRPr="00F847F7">
        <w:rPr>
          <w:rFonts w:ascii="等线" w:eastAsia="等线" w:hAnsi="Times New Roman"/>
          <w:color w:val="000000"/>
        </w:rPr>
        <w:t>Represented Kailong REI in its joint ventures with multiple investors in a number of Hong Kong office development projects</w:t>
      </w:r>
    </w:p>
    <w:p w14:paraId="0597D50B" w14:textId="77777777" w:rsidR="00F847F7" w:rsidRDefault="00F847F7" w:rsidP="00F847F7">
      <w:pPr>
        <w:pStyle w:val="af5"/>
        <w:numPr>
          <w:ilvl w:val="0"/>
          <w:numId w:val="22"/>
        </w:numPr>
        <w:spacing w:before="120"/>
        <w:ind w:left="690" w:hanging="240"/>
        <w:rPr>
          <w:rFonts w:ascii="等线" w:eastAsia="等线" w:hAnsi="Times New Roman"/>
          <w:color w:val="000000"/>
        </w:rPr>
      </w:pPr>
      <w:r w:rsidRPr="00F847F7">
        <w:rPr>
          <w:rFonts w:ascii="等线" w:eastAsia="等线" w:hAnsi="Times New Roman"/>
          <w:color w:val="000000"/>
        </w:rPr>
        <w:t>Represented a Macquarie Infrastructure and Real Estate with geographically diversified portfolio of China retail properties, in its acquisition of a shopping mall in Chongqing</w:t>
      </w:r>
    </w:p>
    <w:p w14:paraId="42DB5678" w14:textId="77777777" w:rsidR="00F847F7" w:rsidRDefault="00F847F7" w:rsidP="00F847F7">
      <w:pPr>
        <w:pStyle w:val="af5"/>
        <w:numPr>
          <w:ilvl w:val="0"/>
          <w:numId w:val="23"/>
        </w:numPr>
        <w:spacing w:before="120"/>
        <w:ind w:left="690" w:hanging="240"/>
        <w:rPr>
          <w:rFonts w:ascii="等线" w:eastAsia="等线" w:hAnsi="Times New Roman"/>
          <w:color w:val="000000"/>
        </w:rPr>
      </w:pPr>
      <w:r w:rsidRPr="00F847F7">
        <w:rPr>
          <w:rFonts w:ascii="等线" w:eastAsia="等线" w:hAnsi="Times New Roman"/>
          <w:color w:val="000000"/>
        </w:rPr>
        <w:t>Represented Tishman Speyer in its acquisition of equity interests in two project companies established and wholly owned by a major PRC state-owned developer in Shanghai, China, the project companies own numerous plots of land in Binjiang area, Qiantan where Shanghai expo was held in 2012. This area will be developed into a new business district where most of the Shanghai government authorities' headquarters will be located</w:t>
      </w:r>
    </w:p>
    <w:p w14:paraId="5CC6C51C" w14:textId="77777777" w:rsidR="00F847F7" w:rsidRDefault="00F847F7" w:rsidP="00F847F7">
      <w:pPr>
        <w:pStyle w:val="af5"/>
        <w:numPr>
          <w:ilvl w:val="0"/>
          <w:numId w:val="24"/>
        </w:numPr>
        <w:spacing w:before="120"/>
        <w:ind w:left="690" w:hanging="240"/>
        <w:rPr>
          <w:rFonts w:ascii="等线" w:eastAsia="等线" w:hAnsi="Times New Roman"/>
          <w:color w:val="000000"/>
        </w:rPr>
      </w:pPr>
      <w:r w:rsidRPr="00F847F7">
        <w:rPr>
          <w:rFonts w:ascii="等线" w:eastAsia="等线" w:hAnsi="Times New Roman"/>
          <w:color w:val="000000"/>
        </w:rPr>
        <w:t>Represented Tishman Speyer in relation to its joint venture arrangement with a major state-owned PRC real estate company regarding its joint investment in a mixed-use real estate development project in the Jiangwan area in Shanghai, China. The deal involved joint venture arrangements in multiple jurisdictions</w:t>
      </w:r>
    </w:p>
    <w:p w14:paraId="0E446F45" w14:textId="77777777" w:rsidR="00F847F7" w:rsidRDefault="00F847F7" w:rsidP="00F847F7">
      <w:pPr>
        <w:pStyle w:val="af5"/>
        <w:spacing w:before="120"/>
        <w:rPr>
          <w:rFonts w:ascii="等线" w:eastAsia="等线" w:hAnsi="Times New Roman"/>
          <w:color w:val="000000"/>
        </w:rPr>
      </w:pPr>
      <w:r w:rsidRPr="00F847F7">
        <w:rPr>
          <w:rFonts w:ascii="等线" w:eastAsia="等线" w:hAnsi="Times New Roman"/>
          <w:color w:val="000000"/>
        </w:rPr>
        <w:t>FINANCING MATTERS</w:t>
      </w:r>
    </w:p>
    <w:p w14:paraId="62781BCA" w14:textId="77777777" w:rsidR="00F847F7" w:rsidRDefault="00F847F7" w:rsidP="00F847F7">
      <w:pPr>
        <w:pStyle w:val="af5"/>
        <w:numPr>
          <w:ilvl w:val="0"/>
          <w:numId w:val="25"/>
        </w:numPr>
        <w:spacing w:before="120"/>
        <w:ind w:left="690" w:hanging="240"/>
        <w:rPr>
          <w:rFonts w:ascii="等线" w:eastAsia="等线" w:hAnsi="Times New Roman"/>
          <w:color w:val="000000"/>
        </w:rPr>
      </w:pPr>
      <w:r w:rsidRPr="00F847F7">
        <w:rPr>
          <w:rFonts w:ascii="等线" w:eastAsia="等线" w:hAnsi="Times New Roman"/>
          <w:color w:val="000000"/>
        </w:rPr>
        <w:t>Represented a subsidiary of CITIC PE in its financing of an acquisition of equity interests in Xuzhou Construction Machinery Group Co., Ltd. (XCMG), a leading Chinese construction machinery group, the financing was provided by Bank of China, Macau Branch</w:t>
      </w:r>
    </w:p>
    <w:p w14:paraId="63DF837D" w14:textId="77777777" w:rsidR="00F847F7" w:rsidRDefault="00F847F7" w:rsidP="00F847F7">
      <w:pPr>
        <w:pStyle w:val="af5"/>
        <w:numPr>
          <w:ilvl w:val="0"/>
          <w:numId w:val="26"/>
        </w:numPr>
        <w:spacing w:before="120"/>
        <w:ind w:left="690" w:hanging="240"/>
        <w:rPr>
          <w:rFonts w:ascii="等线" w:eastAsia="等线" w:hAnsi="Times New Roman"/>
          <w:color w:val="000000"/>
        </w:rPr>
      </w:pPr>
      <w:r w:rsidRPr="00F847F7">
        <w:rPr>
          <w:rFonts w:ascii="等线" w:eastAsia="等线" w:hAnsi="Times New Roman"/>
          <w:color w:val="000000"/>
        </w:rPr>
        <w:t>Represented a consortium led by AEW in their acquisition financing of a commercial complex in Beijing with a transaction value of RMB2.7 billion, the financing was structured as an onshore-offshore parallel lending structure and both were provided by China Minsheng Bank</w:t>
      </w:r>
    </w:p>
    <w:p w14:paraId="29F8D746" w14:textId="77777777" w:rsidR="00F847F7" w:rsidRDefault="00F847F7" w:rsidP="00F847F7">
      <w:pPr>
        <w:pStyle w:val="af5"/>
        <w:numPr>
          <w:ilvl w:val="0"/>
          <w:numId w:val="27"/>
        </w:numPr>
        <w:spacing w:before="120"/>
        <w:ind w:left="690" w:hanging="240"/>
        <w:rPr>
          <w:rFonts w:ascii="等线" w:eastAsia="等线" w:hAnsi="Times New Roman"/>
          <w:color w:val="000000"/>
        </w:rPr>
      </w:pPr>
      <w:r w:rsidRPr="00F847F7">
        <w:rPr>
          <w:rFonts w:ascii="等线" w:eastAsia="等线" w:hAnsi="Times New Roman"/>
          <w:color w:val="000000"/>
        </w:rPr>
        <w:t>Representing China Merchants Bank Co., Ltd., Hong Kong Branch as the lender in its loan financing to Zhuhai Port (Hong Kong) Co., Limited, an indirect wholly-owned subsidiary of Zhuhai branch of the State-owned Assets Supervision and Administration Commission of the State Council, for the HK$2.11 billion privatization of Xinghua Port Holdings Ltd. (SEHK: 01990) by way of a voluntary conditional general cash offer</w:t>
      </w:r>
    </w:p>
    <w:p w14:paraId="6DC0E947" w14:textId="77777777" w:rsidR="00F847F7" w:rsidRDefault="00F847F7" w:rsidP="00F847F7">
      <w:pPr>
        <w:pStyle w:val="af5"/>
        <w:numPr>
          <w:ilvl w:val="0"/>
          <w:numId w:val="28"/>
        </w:numPr>
        <w:spacing w:before="120"/>
        <w:ind w:left="690" w:hanging="240"/>
        <w:rPr>
          <w:rFonts w:ascii="等线" w:eastAsia="等线" w:hAnsi="Times New Roman"/>
          <w:color w:val="000000"/>
        </w:rPr>
      </w:pPr>
      <w:r w:rsidRPr="00F847F7">
        <w:rPr>
          <w:rFonts w:ascii="等线" w:eastAsia="等线" w:hAnsi="Times New Roman"/>
          <w:color w:val="000000"/>
        </w:rPr>
        <w:t>Representing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0C80910A" w14:textId="77777777" w:rsidR="00F847F7" w:rsidRDefault="00F847F7" w:rsidP="00F847F7">
      <w:pPr>
        <w:pStyle w:val="af5"/>
        <w:numPr>
          <w:ilvl w:val="0"/>
          <w:numId w:val="29"/>
        </w:numPr>
        <w:spacing w:before="120"/>
        <w:ind w:left="690" w:hanging="240"/>
        <w:rPr>
          <w:rFonts w:ascii="等线" w:eastAsia="等线" w:hAnsi="Times New Roman"/>
          <w:color w:val="000000"/>
        </w:rPr>
      </w:pPr>
      <w:r w:rsidRPr="00F847F7">
        <w:rPr>
          <w:rFonts w:ascii="等线" w:eastAsia="等线" w:hAnsi="Times New Roman"/>
          <w:color w:val="000000"/>
        </w:rPr>
        <w:t>Representing a consortium of investors in the financing of a voluntary offer to acquire all of the shares in Clear Media Limited, a company listed on the Hong Kong Stock Exchange. The consortium consists of Mr. Han, the CEO of Clear Media, at 40%, Ant Financial at 30%, JCDecaux at 23% and China Wealth Growth Fund III L.P. at 7%</w:t>
      </w:r>
    </w:p>
    <w:p w14:paraId="5C4C0000" w14:textId="77777777" w:rsidR="00F847F7" w:rsidRDefault="00F847F7" w:rsidP="00F847F7">
      <w:pPr>
        <w:pStyle w:val="af5"/>
        <w:numPr>
          <w:ilvl w:val="0"/>
          <w:numId w:val="30"/>
        </w:numPr>
        <w:spacing w:before="120"/>
        <w:ind w:left="690" w:hanging="240"/>
        <w:rPr>
          <w:rFonts w:ascii="等线" w:eastAsia="等线" w:hAnsi="Times New Roman"/>
          <w:color w:val="000000"/>
        </w:rPr>
      </w:pPr>
      <w:r w:rsidRPr="00F847F7">
        <w:rPr>
          <w:rFonts w:ascii="等线" w:eastAsia="等线" w:hAnsi="Times New Roman"/>
          <w:color w:val="000000"/>
        </w:rPr>
        <w:t>Represented Bank of China, Macau branch as the arranger, the lender and the agent in its loan financing to CEIEC (H.K.) Limited, an indirect wholly-owned subsidiary of China Electronics Corporation, for the HK$4.64 billion privatization of TPV Technology Limited (TPV, SEHK: 903; SGX: T18) by way of a scheme of arrangement under the Bermuda Companies Act</w:t>
      </w:r>
    </w:p>
    <w:p w14:paraId="2FBC4B10" w14:textId="77777777" w:rsidR="00F847F7" w:rsidRDefault="00F847F7" w:rsidP="00F847F7">
      <w:pPr>
        <w:pStyle w:val="af5"/>
        <w:numPr>
          <w:ilvl w:val="0"/>
          <w:numId w:val="31"/>
        </w:numPr>
        <w:spacing w:before="120"/>
        <w:ind w:left="690" w:hanging="240"/>
        <w:rPr>
          <w:rFonts w:ascii="等线" w:eastAsia="等线" w:hAnsi="Times New Roman"/>
          <w:color w:val="000000"/>
        </w:rPr>
      </w:pPr>
      <w:r w:rsidRPr="00F847F7">
        <w:rPr>
          <w:rFonts w:ascii="等线" w:eastAsia="等线" w:hAnsi="Times New Roman"/>
          <w:color w:val="000000"/>
        </w:rPr>
        <w:t>Representing BlackRock in its acquisition financing of an office building in Shanghai from the Chinese subsidiary of a leading Singapore bank</w:t>
      </w:r>
    </w:p>
    <w:p w14:paraId="2DA80405" w14:textId="77777777" w:rsidR="00F847F7" w:rsidRDefault="00F847F7" w:rsidP="00F847F7">
      <w:pPr>
        <w:pStyle w:val="af5"/>
        <w:numPr>
          <w:ilvl w:val="0"/>
          <w:numId w:val="32"/>
        </w:numPr>
        <w:spacing w:before="120"/>
        <w:ind w:left="690" w:hanging="240"/>
        <w:rPr>
          <w:rFonts w:ascii="等线" w:eastAsia="等线" w:hAnsi="Times New Roman"/>
          <w:color w:val="000000"/>
        </w:rPr>
      </w:pPr>
      <w:r w:rsidRPr="00F847F7">
        <w:rPr>
          <w:rFonts w:ascii="等线" w:eastAsia="等线" w:hAnsi="Times New Roman"/>
          <w:color w:val="000000"/>
        </w:rPr>
        <w:t>Represented Macquarie Infrastructure and Real Estate in relation to its acquisition financing of a shopping mall in Chongqing from a syndicated group of international lenders</w:t>
      </w:r>
    </w:p>
    <w:p w14:paraId="3CE038E4" w14:textId="77777777" w:rsidR="00F847F7" w:rsidRDefault="00F847F7" w:rsidP="00F847F7">
      <w:pPr>
        <w:pStyle w:val="af5"/>
        <w:numPr>
          <w:ilvl w:val="0"/>
          <w:numId w:val="33"/>
        </w:numPr>
        <w:spacing w:before="120"/>
        <w:ind w:left="690" w:hanging="240"/>
        <w:rPr>
          <w:rFonts w:ascii="等线" w:eastAsia="等线" w:hAnsi="Times New Roman"/>
          <w:color w:val="000000"/>
        </w:rPr>
      </w:pPr>
      <w:r w:rsidRPr="00F847F7">
        <w:rPr>
          <w:rFonts w:ascii="等线" w:eastAsia="等线" w:hAnsi="Times New Roman"/>
          <w:color w:val="000000"/>
        </w:rPr>
        <w:t>Represented Standard Chartered Bank and other lenders in connection with their onshore/offshore financing of Nanjing International Finance Center in Nanjing, China</w:t>
      </w:r>
    </w:p>
    <w:p w14:paraId="52356651" w14:textId="77777777" w:rsidR="00F847F7" w:rsidRDefault="00F847F7" w:rsidP="00F847F7">
      <w:pPr>
        <w:pStyle w:val="af5"/>
        <w:numPr>
          <w:ilvl w:val="0"/>
          <w:numId w:val="34"/>
        </w:numPr>
        <w:spacing w:before="120"/>
        <w:ind w:left="690" w:hanging="240"/>
        <w:rPr>
          <w:rFonts w:ascii="等线" w:eastAsia="等线" w:hAnsi="Times New Roman"/>
          <w:color w:val="000000"/>
        </w:rPr>
      </w:pPr>
      <w:r w:rsidRPr="00F847F7">
        <w:rPr>
          <w:rFonts w:ascii="等线" w:eastAsia="等线" w:hAnsi="Times New Roman"/>
          <w:color w:val="000000"/>
        </w:rPr>
        <w:t>Represented the borrowers in connection with their onshore/ offshore financing of a high-end residential building in Dalian, China from Standard Chartered Bank and other lenders</w:t>
      </w:r>
    </w:p>
    <w:p w14:paraId="08FB7292" w14:textId="77777777" w:rsidR="00F847F7" w:rsidRDefault="00F847F7" w:rsidP="00F847F7">
      <w:pPr>
        <w:pStyle w:val="af5"/>
        <w:numPr>
          <w:ilvl w:val="0"/>
          <w:numId w:val="35"/>
        </w:numPr>
        <w:spacing w:before="120"/>
        <w:ind w:left="690" w:hanging="240"/>
        <w:rPr>
          <w:rFonts w:ascii="等线" w:eastAsia="等线" w:hAnsi="Times New Roman"/>
          <w:color w:val="000000"/>
        </w:rPr>
      </w:pPr>
      <w:r w:rsidRPr="00F847F7">
        <w:rPr>
          <w:rFonts w:ascii="等线" w:eastAsia="等线" w:hAnsi="Times New Roman"/>
          <w:color w:val="000000"/>
        </w:rPr>
        <w:t>Represented an international real estate fund in connection with the refinancing of its offshore loan from Aareal Bank AG for a serviced apartment in Beijing, China</w:t>
      </w:r>
    </w:p>
    <w:p w14:paraId="3B54FA27" w14:textId="77777777" w:rsidR="00F847F7" w:rsidRDefault="00F847F7" w:rsidP="00F847F7">
      <w:pPr>
        <w:pStyle w:val="af5"/>
        <w:numPr>
          <w:ilvl w:val="0"/>
          <w:numId w:val="36"/>
        </w:numPr>
        <w:spacing w:before="120"/>
        <w:ind w:left="690" w:hanging="240"/>
        <w:rPr>
          <w:rFonts w:ascii="等线" w:eastAsia="等线" w:hAnsi="Times New Roman"/>
          <w:color w:val="000000"/>
        </w:rPr>
      </w:pPr>
      <w:r w:rsidRPr="00F847F7">
        <w:rPr>
          <w:rFonts w:ascii="等线" w:eastAsia="等线" w:hAnsi="Times New Roman"/>
          <w:color w:val="000000"/>
        </w:rPr>
        <w:t>Represented Aareal Bank Asia Limited and Aareal Bank AG in the senior loan financing of the acquisition of The Center, an international grade-A office building in Shanghai, China</w:t>
      </w:r>
    </w:p>
    <w:p w14:paraId="5B8DE2BC" w14:textId="77777777" w:rsidR="00F847F7" w:rsidRDefault="00F847F7" w:rsidP="00F847F7">
      <w:pPr>
        <w:pStyle w:val="af5"/>
        <w:numPr>
          <w:ilvl w:val="0"/>
          <w:numId w:val="37"/>
        </w:numPr>
        <w:spacing w:before="120"/>
        <w:ind w:left="690" w:hanging="240"/>
        <w:rPr>
          <w:rFonts w:ascii="等线" w:eastAsia="等线" w:hAnsi="Times New Roman"/>
          <w:color w:val="000000"/>
        </w:rPr>
      </w:pPr>
      <w:r w:rsidRPr="00F847F7">
        <w:rPr>
          <w:rFonts w:ascii="等线" w:eastAsia="等线" w:hAnsi="Times New Roman"/>
          <w:color w:val="000000"/>
        </w:rPr>
        <w:t>Represented Aareal Bank Asia Limited and Aareal Bank AG in the refinancing of the USD 107 million loan made to CREO (Shanghai Central Plaza) Limited</w:t>
      </w:r>
    </w:p>
    <w:p w14:paraId="4FACF147" w14:textId="77777777" w:rsidR="00F847F7" w:rsidRDefault="00F847F7" w:rsidP="00F847F7">
      <w:pPr>
        <w:pStyle w:val="af5"/>
        <w:numPr>
          <w:ilvl w:val="0"/>
          <w:numId w:val="38"/>
        </w:numPr>
        <w:spacing w:before="120"/>
        <w:ind w:left="690" w:hanging="240"/>
        <w:rPr>
          <w:rFonts w:ascii="等线" w:eastAsia="等线" w:hAnsi="Times New Roman"/>
          <w:color w:val="000000"/>
        </w:rPr>
      </w:pPr>
      <w:r w:rsidRPr="00F847F7">
        <w:rPr>
          <w:rFonts w:ascii="等线" w:eastAsia="等线" w:hAnsi="Times New Roman"/>
          <w:color w:val="000000"/>
        </w:rPr>
        <w:t>Represented an international real estate fund in connection with its investment by way of a convertible loan in a major PRC property developer in Guangzhou, China</w:t>
      </w:r>
    </w:p>
    <w:p w14:paraId="61A1D04B" w14:textId="77777777" w:rsidR="00F847F7" w:rsidRDefault="00F847F7" w:rsidP="00F847F7">
      <w:pPr>
        <w:pStyle w:val="af5"/>
        <w:numPr>
          <w:ilvl w:val="0"/>
          <w:numId w:val="39"/>
        </w:numPr>
        <w:spacing w:before="120"/>
        <w:ind w:left="690" w:hanging="240"/>
        <w:rPr>
          <w:rFonts w:ascii="等线" w:eastAsia="等线" w:hAnsi="Times New Roman"/>
          <w:color w:val="000000"/>
        </w:rPr>
      </w:pPr>
      <w:r w:rsidRPr="00F847F7">
        <w:rPr>
          <w:rFonts w:ascii="等线" w:eastAsia="等线" w:hAnsi="Times New Roman"/>
          <w:color w:val="000000"/>
        </w:rPr>
        <w:t>Represented Deutsche Bank AG Shanghai and Hong Kong branches in connection with the provision of onshore/offshore financing to Cargill Inc. for the acquisition of a PRC developer, which owns a commercial real estate building under construction in the central of Shanghai, China (namely Yu Yuan Tiandi)</w:t>
      </w:r>
    </w:p>
    <w:p w14:paraId="33E39B7A" w14:textId="77777777" w:rsidR="00F847F7" w:rsidRDefault="00F847F7" w:rsidP="00F847F7">
      <w:pPr>
        <w:pStyle w:val="af5"/>
        <w:numPr>
          <w:ilvl w:val="0"/>
          <w:numId w:val="40"/>
        </w:numPr>
        <w:spacing w:before="120"/>
        <w:ind w:left="690" w:hanging="240"/>
        <w:rPr>
          <w:rFonts w:ascii="等线" w:eastAsia="等线" w:hAnsi="Times New Roman"/>
          <w:color w:val="000000"/>
        </w:rPr>
      </w:pPr>
      <w:r w:rsidRPr="00F847F7">
        <w:rPr>
          <w:rFonts w:ascii="等线" w:eastAsia="等线" w:hAnsi="Times New Roman"/>
          <w:color w:val="000000"/>
        </w:rPr>
        <w:t>Represented Lehman Brothers in connection with offshore financing provided to Max Orient for the acquisition of a 30% equity interest in Shanghai Jiahuida Real Estate Development Co., Ltd. This entity owns K.Wah Centre located on Huaihai Middle Road in Shanghai, China</w:t>
      </w:r>
    </w:p>
    <w:p w14:paraId="008FA9B8" w14:textId="77777777" w:rsidR="00F847F7" w:rsidRDefault="00F847F7" w:rsidP="00F847F7">
      <w:pPr>
        <w:pStyle w:val="af5"/>
        <w:numPr>
          <w:ilvl w:val="0"/>
          <w:numId w:val="41"/>
        </w:numPr>
        <w:spacing w:before="120"/>
        <w:ind w:left="690" w:hanging="240"/>
        <w:rPr>
          <w:rFonts w:ascii="等线" w:eastAsia="等线" w:hAnsi="Times New Roman"/>
          <w:color w:val="000000"/>
        </w:rPr>
      </w:pPr>
      <w:r w:rsidRPr="00F847F7">
        <w:rPr>
          <w:rFonts w:ascii="等线" w:eastAsia="等线" w:hAnsi="Times New Roman"/>
          <w:color w:val="000000"/>
        </w:rPr>
        <w:t>*Some of the work is performed by our partners at their prior firms</w:t>
      </w:r>
    </w:p>
    <w:p w14:paraId="2EF9D901" w14:textId="77777777" w:rsidR="00F847F7" w:rsidRDefault="00F847F7" w:rsidP="00F847F7">
      <w:pPr>
        <w:pStyle w:val="af5"/>
        <w:spacing w:after="0" w:line="480" w:lineRule="auto"/>
        <w:rPr>
          <w:rFonts w:ascii="等线" w:eastAsia="等线" w:hAnsi="等线"/>
          <w:b/>
          <w:sz w:val="24"/>
        </w:rPr>
      </w:pPr>
      <w:r w:rsidRPr="00F847F7">
        <w:rPr>
          <w:rFonts w:ascii="等线" w:eastAsia="等线" w:hAnsi="等线"/>
          <w:b/>
          <w:sz w:val="24"/>
        </w:rPr>
        <w:t>Education</w:t>
      </w:r>
    </w:p>
    <w:p w14:paraId="6E00B36C" w14:textId="77777777" w:rsidR="00F847F7" w:rsidRDefault="00F847F7" w:rsidP="00F847F7">
      <w:pPr>
        <w:pStyle w:val="af5"/>
        <w:numPr>
          <w:ilvl w:val="0"/>
          <w:numId w:val="42"/>
        </w:numPr>
        <w:spacing w:before="120"/>
        <w:ind w:left="690" w:hanging="240"/>
        <w:rPr>
          <w:rFonts w:ascii="等线" w:eastAsia="等线" w:hAnsi="Times New Roman"/>
          <w:color w:val="000000"/>
        </w:rPr>
      </w:pPr>
      <w:r w:rsidRPr="00F847F7">
        <w:rPr>
          <w:rFonts w:ascii="等线" w:eastAsia="等线" w:hAnsi="Times New Roman"/>
          <w:color w:val="000000"/>
        </w:rPr>
        <w:t>University of New South Wales, B. Comm., 2003</w:t>
      </w:r>
    </w:p>
    <w:p w14:paraId="409EED72" w14:textId="77777777" w:rsidR="00F847F7" w:rsidRDefault="00F847F7" w:rsidP="00F847F7">
      <w:pPr>
        <w:pStyle w:val="af5"/>
        <w:numPr>
          <w:ilvl w:val="0"/>
          <w:numId w:val="43"/>
        </w:numPr>
        <w:spacing w:before="120"/>
        <w:ind w:left="690" w:hanging="240"/>
        <w:rPr>
          <w:rFonts w:ascii="等线" w:eastAsia="等线" w:hAnsi="Times New Roman"/>
          <w:color w:val="000000"/>
        </w:rPr>
      </w:pPr>
      <w:r w:rsidRPr="00F847F7">
        <w:rPr>
          <w:rFonts w:ascii="等线" w:eastAsia="等线" w:hAnsi="Times New Roman"/>
          <w:color w:val="000000"/>
        </w:rPr>
        <w:t>University of New South Wales, LL.B., 2003</w:t>
      </w:r>
    </w:p>
    <w:p w14:paraId="0A6C7D98" w14:textId="77777777" w:rsidR="00F847F7" w:rsidRDefault="00F847F7" w:rsidP="00F847F7">
      <w:pPr>
        <w:pStyle w:val="af5"/>
        <w:numPr>
          <w:ilvl w:val="0"/>
          <w:numId w:val="44"/>
        </w:numPr>
        <w:spacing w:before="120"/>
        <w:ind w:left="690" w:hanging="240"/>
        <w:rPr>
          <w:rFonts w:ascii="等线" w:eastAsia="等线" w:hAnsi="Times New Roman"/>
          <w:color w:val="000000"/>
        </w:rPr>
      </w:pPr>
      <w:r w:rsidRPr="00F847F7">
        <w:rPr>
          <w:rFonts w:ascii="等线" w:eastAsia="等线" w:hAnsi="Times New Roman"/>
          <w:color w:val="000000"/>
        </w:rPr>
        <w:t>University of Sydney, G.D.L., 2005</w:t>
      </w:r>
    </w:p>
    <w:p w14:paraId="5982677B" w14:textId="77777777" w:rsidR="00F847F7" w:rsidRDefault="00F847F7" w:rsidP="00F847F7">
      <w:pPr>
        <w:pStyle w:val="af5"/>
        <w:spacing w:after="0" w:line="480" w:lineRule="auto"/>
        <w:rPr>
          <w:rFonts w:ascii="等线" w:eastAsia="等线" w:hAnsi="等线"/>
          <w:b/>
          <w:sz w:val="24"/>
        </w:rPr>
      </w:pPr>
      <w:r w:rsidRPr="00F847F7">
        <w:rPr>
          <w:rFonts w:ascii="等线" w:eastAsia="等线" w:hAnsi="等线"/>
          <w:b/>
          <w:sz w:val="24"/>
        </w:rPr>
        <w:t>Professional Qualification</w:t>
      </w:r>
    </w:p>
    <w:p w14:paraId="6B2F9D4F" w14:textId="77777777" w:rsidR="00F847F7" w:rsidRDefault="00F847F7" w:rsidP="00F847F7">
      <w:pPr>
        <w:pStyle w:val="af5"/>
        <w:numPr>
          <w:ilvl w:val="0"/>
          <w:numId w:val="45"/>
        </w:numPr>
        <w:spacing w:before="120"/>
        <w:ind w:left="690" w:hanging="240"/>
        <w:rPr>
          <w:rFonts w:ascii="等线" w:eastAsia="等线" w:hAnsi="Times New Roman"/>
          <w:color w:val="000000"/>
        </w:rPr>
      </w:pPr>
      <w:r w:rsidRPr="00F847F7">
        <w:rPr>
          <w:rFonts w:ascii="等线" w:eastAsia="等线" w:hAnsi="Times New Roman"/>
          <w:color w:val="000000"/>
        </w:rPr>
        <w:t>Admitted to practice in New South Wales (Australia)</w:t>
      </w:r>
    </w:p>
    <w:p w14:paraId="44791BAE" w14:textId="77777777" w:rsidR="00F847F7" w:rsidRDefault="00F847F7" w:rsidP="00F847F7">
      <w:pPr>
        <w:pStyle w:val="af5"/>
        <w:numPr>
          <w:ilvl w:val="0"/>
          <w:numId w:val="46"/>
        </w:numPr>
        <w:spacing w:before="120"/>
        <w:ind w:left="690" w:hanging="240"/>
        <w:rPr>
          <w:rFonts w:ascii="等线" w:eastAsia="等线" w:hAnsi="Times New Roman"/>
          <w:color w:val="000000"/>
        </w:rPr>
      </w:pPr>
      <w:r w:rsidRPr="00F847F7">
        <w:rPr>
          <w:rFonts w:ascii="等线" w:eastAsia="等线" w:hAnsi="Times New Roman"/>
          <w:color w:val="000000"/>
        </w:rPr>
        <w:t>Admitted to practice in Victoria (Australia)</w:t>
      </w:r>
    </w:p>
    <w:p w14:paraId="129CEC23" w14:textId="77777777" w:rsidR="00F847F7" w:rsidRDefault="00F847F7" w:rsidP="00F847F7">
      <w:pPr>
        <w:pStyle w:val="af5"/>
        <w:numPr>
          <w:ilvl w:val="0"/>
          <w:numId w:val="47"/>
        </w:numPr>
        <w:spacing w:before="120"/>
        <w:ind w:left="690" w:hanging="240"/>
        <w:rPr>
          <w:rFonts w:ascii="等线" w:eastAsia="等线" w:hAnsi="Times New Roman"/>
          <w:color w:val="000000"/>
        </w:rPr>
      </w:pPr>
      <w:r w:rsidRPr="00F847F7">
        <w:rPr>
          <w:rFonts w:ascii="等线" w:eastAsia="等线" w:hAnsi="Times New Roman"/>
          <w:color w:val="000000"/>
        </w:rPr>
        <w:t>Admitted to practice in Hong Kong SAR</w:t>
      </w:r>
    </w:p>
    <w:p w14:paraId="79430B16" w14:textId="77777777" w:rsidR="00F847F7" w:rsidRDefault="00F847F7" w:rsidP="00F847F7">
      <w:pPr>
        <w:pStyle w:val="af5"/>
        <w:spacing w:after="0" w:line="480" w:lineRule="auto"/>
        <w:rPr>
          <w:rFonts w:ascii="等线" w:eastAsia="等线" w:hAnsi="等线"/>
          <w:b/>
          <w:sz w:val="24"/>
        </w:rPr>
      </w:pPr>
      <w:r w:rsidRPr="00F847F7">
        <w:rPr>
          <w:rFonts w:ascii="等线" w:eastAsia="等线" w:hAnsi="等线"/>
          <w:b/>
          <w:sz w:val="24"/>
        </w:rPr>
        <w:t>Professional Background</w:t>
      </w:r>
    </w:p>
    <w:p w14:paraId="5DA63F67" w14:textId="77777777" w:rsidR="00F847F7" w:rsidRDefault="00F847F7" w:rsidP="00F847F7">
      <w:pPr>
        <w:pStyle w:val="af5"/>
        <w:numPr>
          <w:ilvl w:val="0"/>
          <w:numId w:val="48"/>
        </w:numPr>
        <w:spacing w:before="120"/>
        <w:ind w:left="690" w:hanging="240"/>
        <w:rPr>
          <w:rFonts w:ascii="等线" w:eastAsia="等线" w:hAnsi="Times New Roman"/>
          <w:color w:val="000000"/>
        </w:rPr>
      </w:pPr>
      <w:r w:rsidRPr="00F847F7">
        <w:rPr>
          <w:rFonts w:ascii="等线" w:eastAsia="等线" w:hAnsi="Times New Roman"/>
          <w:color w:val="000000"/>
        </w:rPr>
        <w:t>Ms. Wang joined Fangda as a partner in 2019. Prior to joining Fangda, Ms. Wang has worked in the Shanghai office of Allen &amp; Overy LLP and Morrison &amp; Foerster for more than 12 years, including in the role of partner and chief representative.</w:t>
      </w:r>
    </w:p>
    <w:p w14:paraId="5567FC3C" w14:textId="46F5C6AE" w:rsidR="00686369" w:rsidRPr="00F847F7" w:rsidRDefault="00F847F7" w:rsidP="00F847F7">
      <w:pPr>
        <w:pStyle w:val="af5"/>
        <w:numPr>
          <w:ilvl w:val="0"/>
          <w:numId w:val="49"/>
        </w:numPr>
        <w:spacing w:before="120"/>
        <w:ind w:left="690" w:hanging="240"/>
        <w:rPr>
          <w:rFonts w:ascii="等线" w:eastAsia="等线" w:hAnsi="Times New Roman"/>
          <w:color w:val="000000"/>
        </w:rPr>
      </w:pPr>
      <w:r w:rsidRPr="00F847F7">
        <w:rPr>
          <w:rFonts w:ascii="等线" w:eastAsia="等线" w:hAnsi="Times New Roman"/>
          <w:color w:val="000000"/>
        </w:rPr>
        <w:t>Ms. Wang is listed by Chambers Asia Pacific 2015-2020 in Real Estate: International Firms (China-based), and is also named Lawyer of the Year for Real Estate and Construction by China Law and Practice Awards 2018. Ms. Wang is rated as highly regarded lawyer in Banking practice by IFLR1000 in 2020. She is also recommended by Legal 500 Asia Pacific 2018 in Corporate and M&amp;A, Private Equity/Venture Capital, and Real Estate. Ms. Wang has also been recognized as a Top 15 Female Lawyers in China by ALB China 2016. The award acknowledges her focus on clients, her professional achievements, significant transactions, and her years of practice.</w:t>
      </w:r>
    </w:p>
    <w:sectPr w:rsidR="00686369" w:rsidRPr="00F847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5C47"/>
    <w:multiLevelType w:val="singleLevel"/>
    <w:tmpl w:val="E8D024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55CE5"/>
    <w:multiLevelType w:val="singleLevel"/>
    <w:tmpl w:val="90E654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96D00"/>
    <w:multiLevelType w:val="singleLevel"/>
    <w:tmpl w:val="898AD4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C1859"/>
    <w:multiLevelType w:val="singleLevel"/>
    <w:tmpl w:val="49CC815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B790F"/>
    <w:multiLevelType w:val="singleLevel"/>
    <w:tmpl w:val="3FA070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1D5C26"/>
    <w:multiLevelType w:val="singleLevel"/>
    <w:tmpl w:val="B48835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960F08"/>
    <w:multiLevelType w:val="singleLevel"/>
    <w:tmpl w:val="69925E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676A52"/>
    <w:multiLevelType w:val="singleLevel"/>
    <w:tmpl w:val="B1D4A2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7B313E"/>
    <w:multiLevelType w:val="singleLevel"/>
    <w:tmpl w:val="C31A74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B33623"/>
    <w:multiLevelType w:val="singleLevel"/>
    <w:tmpl w:val="04E05F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CA0EEB"/>
    <w:multiLevelType w:val="singleLevel"/>
    <w:tmpl w:val="2F0076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F921C3"/>
    <w:multiLevelType w:val="singleLevel"/>
    <w:tmpl w:val="A6A822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3D33EE"/>
    <w:multiLevelType w:val="singleLevel"/>
    <w:tmpl w:val="190A14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9C248F"/>
    <w:multiLevelType w:val="singleLevel"/>
    <w:tmpl w:val="6C00C8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224607"/>
    <w:multiLevelType w:val="singleLevel"/>
    <w:tmpl w:val="4D8208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BB7515"/>
    <w:multiLevelType w:val="singleLevel"/>
    <w:tmpl w:val="A9466D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5B42E0"/>
    <w:multiLevelType w:val="singleLevel"/>
    <w:tmpl w:val="780613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121435"/>
    <w:multiLevelType w:val="singleLevel"/>
    <w:tmpl w:val="3FCAAD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241BCB"/>
    <w:multiLevelType w:val="singleLevel"/>
    <w:tmpl w:val="1C02EB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4412EE"/>
    <w:multiLevelType w:val="singleLevel"/>
    <w:tmpl w:val="6248C2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8373E7"/>
    <w:multiLevelType w:val="singleLevel"/>
    <w:tmpl w:val="BBA649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7E2C94"/>
    <w:multiLevelType w:val="singleLevel"/>
    <w:tmpl w:val="7F0E98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4256C8"/>
    <w:multiLevelType w:val="singleLevel"/>
    <w:tmpl w:val="77D214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540D00"/>
    <w:multiLevelType w:val="singleLevel"/>
    <w:tmpl w:val="FABC9B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877496"/>
    <w:multiLevelType w:val="singleLevel"/>
    <w:tmpl w:val="785287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EF7260"/>
    <w:multiLevelType w:val="singleLevel"/>
    <w:tmpl w:val="468A8F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4F3A36"/>
    <w:multiLevelType w:val="singleLevel"/>
    <w:tmpl w:val="404AB9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DE0A60"/>
    <w:multiLevelType w:val="singleLevel"/>
    <w:tmpl w:val="1102FF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EB1B79"/>
    <w:multiLevelType w:val="singleLevel"/>
    <w:tmpl w:val="D2BC21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0B4E5F"/>
    <w:multiLevelType w:val="singleLevel"/>
    <w:tmpl w:val="5726BF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9F072F"/>
    <w:multiLevelType w:val="singleLevel"/>
    <w:tmpl w:val="5A7CA1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DD07C8"/>
    <w:multiLevelType w:val="singleLevel"/>
    <w:tmpl w:val="3D96EDB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FB6A63"/>
    <w:multiLevelType w:val="singleLevel"/>
    <w:tmpl w:val="D74E70F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9861EE"/>
    <w:multiLevelType w:val="singleLevel"/>
    <w:tmpl w:val="BBA649B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AC236C"/>
    <w:multiLevelType w:val="singleLevel"/>
    <w:tmpl w:val="40E86FB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EC4FAB"/>
    <w:multiLevelType w:val="singleLevel"/>
    <w:tmpl w:val="22CE9A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6408D9"/>
    <w:multiLevelType w:val="singleLevel"/>
    <w:tmpl w:val="24DEE13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B52B67"/>
    <w:multiLevelType w:val="singleLevel"/>
    <w:tmpl w:val="26722F5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8659F5"/>
    <w:multiLevelType w:val="singleLevel"/>
    <w:tmpl w:val="3CACE4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CF3739"/>
    <w:multiLevelType w:val="singleLevel"/>
    <w:tmpl w:val="63A084C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320872"/>
    <w:multiLevelType w:val="singleLevel"/>
    <w:tmpl w:val="DF44BE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803116"/>
    <w:multiLevelType w:val="singleLevel"/>
    <w:tmpl w:val="E680398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7F6A5D"/>
    <w:multiLevelType w:val="singleLevel"/>
    <w:tmpl w:val="23CC9E0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8920E8"/>
    <w:multiLevelType w:val="singleLevel"/>
    <w:tmpl w:val="22E8A1E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BF1AFB"/>
    <w:multiLevelType w:val="singleLevel"/>
    <w:tmpl w:val="841E126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795E28"/>
    <w:multiLevelType w:val="singleLevel"/>
    <w:tmpl w:val="FF6C7F6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C910E3"/>
    <w:multiLevelType w:val="singleLevel"/>
    <w:tmpl w:val="20F23F9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5"/>
  </w:num>
  <w:num w:numId="3">
    <w:abstractNumId w:val="27"/>
  </w:num>
  <w:num w:numId="4">
    <w:abstractNumId w:val="18"/>
  </w:num>
  <w:num w:numId="5">
    <w:abstractNumId w:val="32"/>
  </w:num>
  <w:num w:numId="6">
    <w:abstractNumId w:val="37"/>
  </w:num>
  <w:num w:numId="7">
    <w:abstractNumId w:val="28"/>
  </w:num>
  <w:num w:numId="8">
    <w:abstractNumId w:val="39"/>
  </w:num>
  <w:num w:numId="9">
    <w:abstractNumId w:val="33"/>
  </w:num>
  <w:num w:numId="10">
    <w:abstractNumId w:val="0"/>
  </w:num>
  <w:num w:numId="11">
    <w:abstractNumId w:val="29"/>
  </w:num>
  <w:num w:numId="12">
    <w:abstractNumId w:val="6"/>
  </w:num>
  <w:num w:numId="13">
    <w:abstractNumId w:val="24"/>
  </w:num>
  <w:num w:numId="14">
    <w:abstractNumId w:val="5"/>
  </w:num>
  <w:num w:numId="15">
    <w:abstractNumId w:val="23"/>
  </w:num>
  <w:num w:numId="16">
    <w:abstractNumId w:val="43"/>
  </w:num>
  <w:num w:numId="17">
    <w:abstractNumId w:val="41"/>
  </w:num>
  <w:num w:numId="18">
    <w:abstractNumId w:val="17"/>
  </w:num>
  <w:num w:numId="19">
    <w:abstractNumId w:val="42"/>
  </w:num>
  <w:num w:numId="20">
    <w:abstractNumId w:val="4"/>
  </w:num>
  <w:num w:numId="21">
    <w:abstractNumId w:val="36"/>
  </w:num>
  <w:num w:numId="22">
    <w:abstractNumId w:val="44"/>
  </w:num>
  <w:num w:numId="23">
    <w:abstractNumId w:val="31"/>
  </w:num>
  <w:num w:numId="24">
    <w:abstractNumId w:val="30"/>
  </w:num>
  <w:num w:numId="25">
    <w:abstractNumId w:val="46"/>
  </w:num>
  <w:num w:numId="26">
    <w:abstractNumId w:val="22"/>
  </w:num>
  <w:num w:numId="27">
    <w:abstractNumId w:val="20"/>
  </w:num>
  <w:num w:numId="28">
    <w:abstractNumId w:val="8"/>
  </w:num>
  <w:num w:numId="29">
    <w:abstractNumId w:val="45"/>
  </w:num>
  <w:num w:numId="30">
    <w:abstractNumId w:val="34"/>
  </w:num>
  <w:num w:numId="31">
    <w:abstractNumId w:val="3"/>
  </w:num>
  <w:num w:numId="32">
    <w:abstractNumId w:val="11"/>
  </w:num>
  <w:num w:numId="33">
    <w:abstractNumId w:val="48"/>
  </w:num>
  <w:num w:numId="34">
    <w:abstractNumId w:val="26"/>
  </w:num>
  <w:num w:numId="35">
    <w:abstractNumId w:val="7"/>
  </w:num>
  <w:num w:numId="36">
    <w:abstractNumId w:val="12"/>
  </w:num>
  <w:num w:numId="37">
    <w:abstractNumId w:val="15"/>
  </w:num>
  <w:num w:numId="38">
    <w:abstractNumId w:val="40"/>
  </w:num>
  <w:num w:numId="39">
    <w:abstractNumId w:val="14"/>
  </w:num>
  <w:num w:numId="40">
    <w:abstractNumId w:val="47"/>
  </w:num>
  <w:num w:numId="41">
    <w:abstractNumId w:val="10"/>
  </w:num>
  <w:num w:numId="42">
    <w:abstractNumId w:val="13"/>
  </w:num>
  <w:num w:numId="43">
    <w:abstractNumId w:val="1"/>
  </w:num>
  <w:num w:numId="44">
    <w:abstractNumId w:val="9"/>
  </w:num>
  <w:num w:numId="45">
    <w:abstractNumId w:val="38"/>
  </w:num>
  <w:num w:numId="46">
    <w:abstractNumId w:val="19"/>
  </w:num>
  <w:num w:numId="47">
    <w:abstractNumId w:val="2"/>
  </w:num>
  <w:num w:numId="48">
    <w:abstractNumId w:val="21"/>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847F7"/>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47F7"/>
    <w:pPr>
      <w:spacing w:after="120"/>
    </w:pPr>
  </w:style>
  <w:style w:type="character" w:customStyle="1" w:styleId="af6">
    <w:name w:val="正文文本 字符"/>
    <w:basedOn w:val="a0"/>
    <w:link w:val="af5"/>
    <w:uiPriority w:val="99"/>
    <w:rsid w:val="00F847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9C527-FDAA-45EE-97EF-E22C87F7C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1629</Words>
  <Characters>9286</Characters>
  <Application>Microsoft Office Word</Application>
  <DocSecurity>0</DocSecurity>
  <Lines>77</Lines>
  <Paragraphs>21</Paragraphs>
  <ScaleCrop>false</ScaleCrop>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2026-05-26T17:49:00Z</dcterms:created>
  <dcterms:modified xsi:type="dcterms:W3CDTF">2026-05-26T17:49:00Z</dcterms:modified>
</cp:coreProperties>
</file>