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3C5B61A" w:rsidR="0049405C" w:rsidRPr="00C24D79" w:rsidRDefault="00282ECF" w:rsidP="00282ECF">
            <w:pPr>
              <w:spacing w:line="720" w:lineRule="auto"/>
              <w:rPr>
                <w:rFonts w:eastAsiaTheme="minorHAnsi"/>
                <w:color w:val="545551"/>
              </w:rPr>
            </w:pPr>
            <w:bookmarkStart w:id="0" w:name="xingming"/>
            <w:bookmarkStart w:id="1" w:name="_GoBack"/>
            <w:bookmarkEnd w:id="1"/>
            <w:r w:rsidRPr="00282ECF">
              <w:rPr>
                <w:rFonts w:ascii="等线" w:eastAsia="等线" w:hAnsi="Times New Roman"/>
                <w:b/>
                <w:color w:val="000000"/>
                <w:sz w:val="48"/>
              </w:rPr>
              <w:t>LAURENCE YUAN</w:t>
            </w:r>
            <w:bookmarkEnd w:id="0"/>
          </w:p>
          <w:p w14:paraId="706EB16B" w14:textId="62E7F675" w:rsidR="0049405C" w:rsidRPr="00C24D79" w:rsidRDefault="00282ECF" w:rsidP="00282ECF">
            <w:pPr>
              <w:spacing w:line="360" w:lineRule="auto"/>
              <w:rPr>
                <w:rFonts w:eastAsiaTheme="minorHAnsi"/>
                <w:b/>
                <w:bCs/>
                <w:color w:val="545551"/>
              </w:rPr>
            </w:pPr>
            <w:bookmarkStart w:id="2" w:name="didian"/>
            <w:r w:rsidRPr="00282ECF">
              <w:rPr>
                <w:rFonts w:ascii="等线" w:eastAsia="等线" w:hAnsi="Times New Roman"/>
                <w:b/>
                <w:bCs/>
                <w:color w:val="000000"/>
              </w:rPr>
              <w:t>Partner</w:t>
            </w:r>
            <w:r w:rsidRPr="00282ECF">
              <w:rPr>
                <w:rFonts w:ascii="等线" w:eastAsia="等线" w:hAnsi="Times New Roman"/>
                <w:b/>
                <w:bCs/>
                <w:color w:val="000000"/>
              </w:rPr>
              <w:t>·</w:t>
            </w:r>
            <w:r w:rsidRPr="00282ECF">
              <w:rPr>
                <w:rFonts w:ascii="等线" w:eastAsia="等线" w:hAnsi="Times New Roman"/>
                <w:b/>
                <w:bCs/>
                <w:color w:val="000000"/>
              </w:rPr>
              <w:t>Hong Kong</w:t>
            </w:r>
            <w:bookmarkEnd w:id="2"/>
          </w:p>
          <w:p w14:paraId="6199424A" w14:textId="77E6DFBC" w:rsidR="0049405C" w:rsidRPr="00C24D79" w:rsidRDefault="00282ECF" w:rsidP="00282ECF">
            <w:pPr>
              <w:spacing w:line="360" w:lineRule="auto"/>
              <w:rPr>
                <w:rFonts w:eastAsiaTheme="minorHAnsi"/>
                <w:color w:val="545551"/>
              </w:rPr>
            </w:pPr>
            <w:bookmarkStart w:id="3" w:name="dianhua"/>
            <w:r w:rsidRPr="00282ECF">
              <w:rPr>
                <w:rFonts w:ascii="等线" w:eastAsia="等线" w:hAnsi="Times New Roman"/>
                <w:color w:val="000000"/>
              </w:rPr>
              <w:t xml:space="preserve">+852 3976 8888 </w:t>
            </w:r>
            <w:bookmarkEnd w:id="3"/>
          </w:p>
          <w:p w14:paraId="4F910ACA" w14:textId="6F222B73" w:rsidR="0049405C" w:rsidRPr="00C24D79" w:rsidRDefault="00282ECF" w:rsidP="00282ECF">
            <w:pPr>
              <w:spacing w:line="360" w:lineRule="auto"/>
              <w:rPr>
                <w:rFonts w:eastAsiaTheme="minorHAnsi"/>
                <w:color w:val="000000"/>
              </w:rPr>
            </w:pPr>
            <w:bookmarkStart w:id="4" w:name="youxiang"/>
            <w:r w:rsidRPr="00282ECF">
              <w:rPr>
                <w:rFonts w:ascii="等线" w:eastAsia="等线" w:hAnsi="Times New Roman"/>
                <w:color w:val="000000"/>
              </w:rPr>
              <w:t>laurence.yuan@fangdalaw.com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9A487EA" w:rsidR="0049405C" w:rsidRPr="00C24D79" w:rsidRDefault="00282EC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7FEE25E" wp14:editId="62CB2E4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CE9DA3C" w:rsidR="009465FB" w:rsidRPr="00C24D79" w:rsidRDefault="00282ECF" w:rsidP="007177F3">
            <w:pPr>
              <w:rPr>
                <w:rFonts w:eastAsiaTheme="minorHAnsi"/>
                <w:color w:val="000000"/>
                <w:szCs w:val="21"/>
              </w:rPr>
            </w:pPr>
            <w:bookmarkStart w:id="6" w:name="zhiyelingyu"/>
            <w:r w:rsidRPr="00282ECF">
              <w:rPr>
                <w:rFonts w:ascii="等线" w:eastAsia="等线" w:hAnsi="Times New Roman"/>
                <w:color w:val="000000"/>
                <w:szCs w:val="21"/>
              </w:rPr>
              <w:t>MR. YUAN WORKS AT FANGDA</w:t>
            </w:r>
            <w:r w:rsidRPr="00282ECF">
              <w:rPr>
                <w:rFonts w:ascii="等线" w:eastAsia="等线" w:hAnsi="Times New Roman"/>
                <w:color w:val="000000"/>
                <w:szCs w:val="21"/>
              </w:rPr>
              <w:t>’</w:t>
            </w:r>
            <w:r w:rsidRPr="00282ECF">
              <w:rPr>
                <w:rFonts w:ascii="等线" w:eastAsia="等线" w:hAnsi="Times New Roman"/>
                <w:color w:val="000000"/>
                <w:szCs w:val="21"/>
              </w:rPr>
              <w:t>S HONG KONG OFFICE. HE SPECIALIZES IN ACQUISITION FINANCE, FUND FINANCE, PROJECT FINANCE, TRADE FINANCE, BANK COMPLIANCE AND DISTRIBUTED LEDGER TECHNOLOGY (BLOCKCHAIN).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04F1642" w14:textId="77777777" w:rsidR="00282EC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2D06D4A" w14:textId="77777777" w:rsidR="00282ECF" w:rsidRDefault="00282ECF" w:rsidP="00282ECF">
      <w:pPr>
        <w:pStyle w:val="af5"/>
        <w:spacing w:after="0" w:line="480" w:lineRule="auto"/>
        <w:rPr>
          <w:rFonts w:ascii="等线" w:eastAsia="等线" w:hAnsi="等线"/>
          <w:b/>
          <w:sz w:val="24"/>
        </w:rPr>
      </w:pPr>
      <w:r w:rsidRPr="00282ECF">
        <w:rPr>
          <w:rFonts w:ascii="等线" w:eastAsia="等线" w:hAnsi="等线"/>
          <w:b/>
          <w:sz w:val="24"/>
        </w:rPr>
        <w:t>REPRESENTATIVE MATTERS AND CASES</w:t>
      </w:r>
    </w:p>
    <w:p w14:paraId="29E40C85" w14:textId="77777777" w:rsidR="00282ECF" w:rsidRDefault="00282ECF" w:rsidP="00282ECF">
      <w:pPr>
        <w:pStyle w:val="af5"/>
        <w:spacing w:before="120"/>
        <w:rPr>
          <w:rFonts w:ascii="等线" w:eastAsia="等线" w:hAnsi="Times New Roman"/>
          <w:color w:val="000000"/>
        </w:rPr>
      </w:pPr>
    </w:p>
    <w:p w14:paraId="570BD7A3" w14:textId="77777777" w:rsidR="00282ECF" w:rsidRDefault="00282ECF" w:rsidP="00282ECF">
      <w:pPr>
        <w:pStyle w:val="af5"/>
        <w:numPr>
          <w:ilvl w:val="0"/>
          <w:numId w:val="4"/>
        </w:numPr>
        <w:spacing w:before="120"/>
        <w:ind w:left="690" w:hanging="240"/>
        <w:rPr>
          <w:rFonts w:ascii="等线" w:eastAsia="等线" w:hAnsi="Times New Roman"/>
          <w:color w:val="000000"/>
        </w:rPr>
      </w:pPr>
      <w:r w:rsidRPr="00282ECF">
        <w:rPr>
          <w:rFonts w:ascii="等线" w:eastAsia="等线" w:hAnsi="Times New Roman"/>
          <w:color w:val="000000"/>
        </w:rPr>
        <w:t>Represented a consortium led by Agricultural Bank of China in connection with its RMB 26 billion project finance for the Universal Theme Park in Beijing (</w:t>
      </w:r>
      <w:r w:rsidRPr="00282ECF">
        <w:rPr>
          <w:rFonts w:ascii="等线" w:eastAsia="等线" w:hAnsi="Times New Roman"/>
          <w:color w:val="000000"/>
        </w:rPr>
        <w:t>“</w:t>
      </w:r>
      <w:r w:rsidRPr="00282ECF">
        <w:rPr>
          <w:rFonts w:ascii="等线" w:eastAsia="等线" w:hAnsi="Times New Roman"/>
          <w:color w:val="000000"/>
        </w:rPr>
        <w:t>Project Finance of the Year</w:t>
      </w:r>
      <w:r w:rsidRPr="00282ECF">
        <w:rPr>
          <w:rFonts w:ascii="等线" w:eastAsia="等线" w:hAnsi="Times New Roman"/>
          <w:color w:val="000000"/>
        </w:rPr>
        <w:t>”</w:t>
      </w:r>
      <w:r w:rsidRPr="00282ECF">
        <w:rPr>
          <w:rFonts w:ascii="等线" w:eastAsia="等线" w:hAnsi="Times New Roman"/>
          <w:color w:val="000000"/>
        </w:rPr>
        <w:t xml:space="preserve"> by </w:t>
      </w:r>
      <w:r w:rsidRPr="00282ECF">
        <w:rPr>
          <w:rFonts w:ascii="等线" w:eastAsia="等线" w:hAnsi="Times New Roman"/>
          <w:color w:val="000000"/>
        </w:rPr>
        <w:t>“</w:t>
      </w:r>
      <w:r w:rsidRPr="00282ECF">
        <w:rPr>
          <w:rFonts w:ascii="等线" w:eastAsia="等线" w:hAnsi="Times New Roman"/>
          <w:color w:val="000000"/>
        </w:rPr>
        <w:t>Asian Legal Business</w:t>
      </w:r>
      <w:r w:rsidRPr="00282ECF">
        <w:rPr>
          <w:rFonts w:ascii="等线" w:eastAsia="等线" w:hAnsi="Times New Roman"/>
          <w:color w:val="000000"/>
        </w:rPr>
        <w:t>”</w:t>
      </w:r>
      <w:r w:rsidRPr="00282ECF">
        <w:rPr>
          <w:rFonts w:ascii="等线" w:eastAsia="等线" w:hAnsi="Times New Roman"/>
          <w:color w:val="000000"/>
        </w:rPr>
        <w:t xml:space="preserve"> for 2019，the PRC law)</w:t>
      </w:r>
    </w:p>
    <w:p w14:paraId="2927D3E3" w14:textId="77777777" w:rsidR="00282ECF" w:rsidRDefault="00282ECF" w:rsidP="00282ECF">
      <w:pPr>
        <w:pStyle w:val="af5"/>
        <w:numPr>
          <w:ilvl w:val="0"/>
          <w:numId w:val="5"/>
        </w:numPr>
        <w:spacing w:before="120"/>
        <w:ind w:left="690" w:hanging="240"/>
        <w:rPr>
          <w:rFonts w:ascii="等线" w:eastAsia="等线" w:hAnsi="Times New Roman"/>
          <w:color w:val="000000"/>
        </w:rPr>
      </w:pPr>
      <w:r w:rsidRPr="00282ECF">
        <w:rPr>
          <w:rFonts w:ascii="等线" w:eastAsia="等线" w:hAnsi="Times New Roman"/>
          <w:color w:val="000000"/>
        </w:rPr>
        <w:t>Represented a consortium led by JP Morgan Chase and the Export-Import Bank of the United States in connection with a USD 850 million export finance facility to a Mexican petrochemical company (</w:t>
      </w:r>
      <w:r w:rsidRPr="00282ECF">
        <w:rPr>
          <w:rFonts w:ascii="等线" w:eastAsia="等线" w:hAnsi="Times New Roman"/>
          <w:color w:val="000000"/>
        </w:rPr>
        <w:t>“</w:t>
      </w:r>
      <w:r w:rsidRPr="00282ECF">
        <w:rPr>
          <w:rFonts w:ascii="等线" w:eastAsia="等线" w:hAnsi="Times New Roman"/>
          <w:color w:val="000000"/>
        </w:rPr>
        <w:t>Deal of the Year</w:t>
      </w:r>
      <w:r w:rsidRPr="00282ECF">
        <w:rPr>
          <w:rFonts w:ascii="等线" w:eastAsia="等线" w:hAnsi="Times New Roman"/>
          <w:color w:val="000000"/>
        </w:rPr>
        <w:t>”</w:t>
      </w:r>
      <w:r w:rsidRPr="00282ECF">
        <w:rPr>
          <w:rFonts w:ascii="等线" w:eastAsia="等线" w:hAnsi="Times New Roman"/>
          <w:color w:val="000000"/>
        </w:rPr>
        <w:t xml:space="preserve"> by </w:t>
      </w:r>
      <w:r w:rsidRPr="00282ECF">
        <w:rPr>
          <w:rFonts w:ascii="等线" w:eastAsia="等线" w:hAnsi="Times New Roman"/>
          <w:color w:val="000000"/>
        </w:rPr>
        <w:t>“</w:t>
      </w:r>
      <w:r w:rsidRPr="00282ECF">
        <w:rPr>
          <w:rFonts w:ascii="等线" w:eastAsia="等线" w:hAnsi="Times New Roman"/>
          <w:color w:val="000000"/>
        </w:rPr>
        <w:t>Trade Finance</w:t>
      </w:r>
      <w:r w:rsidRPr="00282ECF">
        <w:rPr>
          <w:rFonts w:ascii="等线" w:eastAsia="等线" w:hAnsi="Times New Roman"/>
          <w:color w:val="000000"/>
        </w:rPr>
        <w:t>”</w:t>
      </w:r>
      <w:r w:rsidRPr="00282ECF">
        <w:rPr>
          <w:rFonts w:ascii="等线" w:eastAsia="等线" w:hAnsi="Times New Roman"/>
          <w:color w:val="000000"/>
        </w:rPr>
        <w:t xml:space="preserve"> for 2013, New York law)</w:t>
      </w:r>
    </w:p>
    <w:p w14:paraId="6D96ADCC" w14:textId="77777777" w:rsidR="00282ECF" w:rsidRDefault="00282ECF" w:rsidP="00282ECF">
      <w:pPr>
        <w:pStyle w:val="af5"/>
        <w:numPr>
          <w:ilvl w:val="0"/>
          <w:numId w:val="6"/>
        </w:numPr>
        <w:spacing w:before="120"/>
        <w:ind w:left="690" w:hanging="240"/>
        <w:rPr>
          <w:rFonts w:ascii="等线" w:eastAsia="等线" w:hAnsi="Times New Roman"/>
          <w:color w:val="000000"/>
        </w:rPr>
      </w:pPr>
      <w:r w:rsidRPr="00282ECF">
        <w:rPr>
          <w:rFonts w:ascii="等线" w:eastAsia="等线" w:hAnsi="Times New Roman"/>
          <w:color w:val="000000"/>
        </w:rPr>
        <w:t>Led the second amendment of the standard banking documentation of China Banking Association</w:t>
      </w:r>
    </w:p>
    <w:p w14:paraId="30293954" w14:textId="77777777" w:rsidR="00282ECF" w:rsidRDefault="00282ECF" w:rsidP="00282ECF">
      <w:pPr>
        <w:pStyle w:val="af5"/>
        <w:numPr>
          <w:ilvl w:val="0"/>
          <w:numId w:val="7"/>
        </w:numPr>
        <w:spacing w:before="120"/>
        <w:ind w:left="690" w:hanging="240"/>
        <w:rPr>
          <w:rFonts w:ascii="等线" w:eastAsia="等线" w:hAnsi="Times New Roman"/>
          <w:color w:val="000000"/>
        </w:rPr>
      </w:pPr>
      <w:r w:rsidRPr="00282ECF">
        <w:rPr>
          <w:rFonts w:ascii="等线" w:eastAsia="等线" w:hAnsi="Times New Roman"/>
          <w:color w:val="000000"/>
        </w:rPr>
        <w:t>Represented DBS in an offshore/onshore loan to the offshore entities of the COFCO Group with credit enhancement based on COFCO</w:t>
      </w:r>
      <w:r w:rsidRPr="00282ECF">
        <w:rPr>
          <w:rFonts w:ascii="等线" w:eastAsia="等线" w:hAnsi="Times New Roman"/>
          <w:color w:val="000000"/>
        </w:rPr>
        <w:t>’</w:t>
      </w:r>
      <w:r w:rsidRPr="00282ECF">
        <w:rPr>
          <w:rFonts w:ascii="等线" w:eastAsia="等线" w:hAnsi="Times New Roman"/>
          <w:color w:val="000000"/>
        </w:rPr>
        <w:t>s PRC entities and projects</w:t>
      </w:r>
    </w:p>
    <w:p w14:paraId="3610DD1D" w14:textId="77777777" w:rsidR="00282ECF" w:rsidRDefault="00282ECF" w:rsidP="00282ECF">
      <w:pPr>
        <w:pStyle w:val="af5"/>
        <w:numPr>
          <w:ilvl w:val="0"/>
          <w:numId w:val="8"/>
        </w:numPr>
        <w:spacing w:before="120"/>
        <w:ind w:left="690" w:hanging="240"/>
        <w:rPr>
          <w:rFonts w:ascii="等线" w:eastAsia="等线" w:hAnsi="Times New Roman"/>
          <w:color w:val="000000"/>
        </w:rPr>
      </w:pPr>
      <w:r w:rsidRPr="00282ECF">
        <w:rPr>
          <w:rFonts w:ascii="等线" w:eastAsia="等线" w:hAnsi="Times New Roman"/>
          <w:color w:val="000000"/>
        </w:rPr>
        <w:t>Represented DBS and Citic Bank in an offshore/onshore loan to the offshore entities of the COFCO Group with credit enhancement based on COFCO</w:t>
      </w:r>
      <w:r w:rsidRPr="00282ECF">
        <w:rPr>
          <w:rFonts w:ascii="等线" w:eastAsia="等线" w:hAnsi="Times New Roman"/>
          <w:color w:val="000000"/>
        </w:rPr>
        <w:t>’</w:t>
      </w:r>
      <w:r w:rsidRPr="00282ECF">
        <w:rPr>
          <w:rFonts w:ascii="等线" w:eastAsia="等线" w:hAnsi="Times New Roman"/>
          <w:color w:val="000000"/>
        </w:rPr>
        <w:t>s PRC entities and projects</w:t>
      </w:r>
    </w:p>
    <w:p w14:paraId="09D2B095" w14:textId="77777777" w:rsidR="00282ECF" w:rsidRDefault="00282ECF" w:rsidP="00282ECF">
      <w:pPr>
        <w:pStyle w:val="af5"/>
        <w:numPr>
          <w:ilvl w:val="0"/>
          <w:numId w:val="9"/>
        </w:numPr>
        <w:spacing w:before="120"/>
        <w:ind w:left="690" w:hanging="240"/>
        <w:rPr>
          <w:rFonts w:ascii="等线" w:eastAsia="等线" w:hAnsi="Times New Roman"/>
          <w:color w:val="000000"/>
        </w:rPr>
      </w:pPr>
      <w:r w:rsidRPr="00282ECF">
        <w:rPr>
          <w:rFonts w:ascii="等线" w:eastAsia="等线" w:hAnsi="Times New Roman"/>
          <w:color w:val="000000"/>
        </w:rPr>
        <w:t>Represented offshore entities of a large scale state owned group in the petrochemical industry in the PRC in connection with their offshore bank loans from/ private notes issued to various international banks or consortiums supported by cross border guarantees or keep well letters from the PRC entities of the group</w:t>
      </w:r>
    </w:p>
    <w:p w14:paraId="51F8D797" w14:textId="77777777" w:rsidR="00282ECF" w:rsidRDefault="00282ECF" w:rsidP="00282ECF">
      <w:pPr>
        <w:pStyle w:val="af5"/>
        <w:numPr>
          <w:ilvl w:val="0"/>
          <w:numId w:val="10"/>
        </w:numPr>
        <w:spacing w:before="120"/>
        <w:ind w:left="690" w:hanging="240"/>
        <w:rPr>
          <w:rFonts w:ascii="等线" w:eastAsia="等线" w:hAnsi="Times New Roman"/>
          <w:color w:val="000000"/>
        </w:rPr>
      </w:pPr>
      <w:r w:rsidRPr="00282ECF">
        <w:rPr>
          <w:rFonts w:ascii="等线" w:eastAsia="等线" w:hAnsi="Times New Roman"/>
          <w:color w:val="000000"/>
        </w:rPr>
        <w:t>Represented Jinxin medical in connection with its offshore bank loans from/private notes issued to various PRC/international bank or consortium</w:t>
      </w:r>
    </w:p>
    <w:p w14:paraId="0EB43C47" w14:textId="77777777" w:rsidR="00282ECF" w:rsidRDefault="00282ECF" w:rsidP="00282ECF">
      <w:pPr>
        <w:pStyle w:val="af5"/>
        <w:numPr>
          <w:ilvl w:val="0"/>
          <w:numId w:val="11"/>
        </w:numPr>
        <w:spacing w:before="120"/>
        <w:ind w:left="690" w:hanging="240"/>
        <w:rPr>
          <w:rFonts w:ascii="等线" w:eastAsia="等线" w:hAnsi="Times New Roman"/>
          <w:color w:val="000000"/>
        </w:rPr>
      </w:pPr>
      <w:r w:rsidRPr="00282ECF">
        <w:rPr>
          <w:rFonts w:ascii="等线" w:eastAsia="等线" w:hAnsi="Times New Roman"/>
          <w:color w:val="000000"/>
        </w:rPr>
        <w:t>Represented Motor Coach Industries International, Inc., a portfolio company invested by KPS Special Situations Fund, in connection with a USD 250 million acquisition facility (term loans and an asset-backed loan) from a consortium</w:t>
      </w:r>
    </w:p>
    <w:p w14:paraId="253BEC6E" w14:textId="77777777" w:rsidR="00282ECF" w:rsidRDefault="00282ECF" w:rsidP="00282ECF">
      <w:pPr>
        <w:pStyle w:val="af5"/>
        <w:numPr>
          <w:ilvl w:val="0"/>
          <w:numId w:val="12"/>
        </w:numPr>
        <w:spacing w:before="120"/>
        <w:ind w:left="690" w:hanging="240"/>
        <w:rPr>
          <w:rFonts w:ascii="等线" w:eastAsia="等线" w:hAnsi="Times New Roman"/>
          <w:color w:val="000000"/>
        </w:rPr>
      </w:pPr>
      <w:r w:rsidRPr="00282ECF">
        <w:rPr>
          <w:rFonts w:ascii="等线" w:eastAsia="等线" w:hAnsi="Times New Roman"/>
          <w:color w:val="000000"/>
        </w:rPr>
        <w:t>Represented Prince Mineral Holdings Corp. in connection with a USD 370 million acquisition facility (term loans and an asset-backed loan) from a consortium</w:t>
      </w:r>
    </w:p>
    <w:p w14:paraId="7A392E57" w14:textId="77777777" w:rsidR="00282ECF" w:rsidRDefault="00282ECF" w:rsidP="00282ECF">
      <w:pPr>
        <w:pStyle w:val="af5"/>
        <w:numPr>
          <w:ilvl w:val="0"/>
          <w:numId w:val="13"/>
        </w:numPr>
        <w:spacing w:before="120"/>
        <w:ind w:left="690" w:hanging="240"/>
        <w:rPr>
          <w:rFonts w:ascii="等线" w:eastAsia="等线" w:hAnsi="Times New Roman"/>
          <w:color w:val="000000"/>
        </w:rPr>
      </w:pPr>
      <w:r w:rsidRPr="00282ECF">
        <w:rPr>
          <w:rFonts w:ascii="等线" w:eastAsia="等线" w:hAnsi="Times New Roman"/>
          <w:color w:val="000000"/>
        </w:rPr>
        <w:t>Represented KTG Holdings LLC, a portfolio company invested by Kohlberg &amp; Company, in connection with a USD 100 million acquisition facility (a first lien term loan and a second lien term loan) from a consortium</w:t>
      </w:r>
    </w:p>
    <w:p w14:paraId="403F3914" w14:textId="77777777" w:rsidR="00282ECF" w:rsidRDefault="00282ECF" w:rsidP="00282ECF">
      <w:pPr>
        <w:pStyle w:val="af5"/>
        <w:numPr>
          <w:ilvl w:val="0"/>
          <w:numId w:val="14"/>
        </w:numPr>
        <w:spacing w:before="120"/>
        <w:ind w:left="690" w:hanging="240"/>
        <w:rPr>
          <w:rFonts w:ascii="等线" w:eastAsia="等线" w:hAnsi="Times New Roman"/>
          <w:color w:val="000000"/>
        </w:rPr>
      </w:pPr>
      <w:r w:rsidRPr="00282ECF">
        <w:rPr>
          <w:rFonts w:ascii="等线" w:eastAsia="等线" w:hAnsi="Times New Roman"/>
          <w:color w:val="000000"/>
        </w:rPr>
        <w:t>Represented Apollo Global Management in connection with a USD 100 million tax credit finance facility to an Alaska oil company</w:t>
      </w:r>
    </w:p>
    <w:p w14:paraId="04102F90" w14:textId="77777777" w:rsidR="00282ECF" w:rsidRDefault="00282ECF" w:rsidP="00282ECF">
      <w:pPr>
        <w:pStyle w:val="af5"/>
        <w:numPr>
          <w:ilvl w:val="0"/>
          <w:numId w:val="15"/>
        </w:numPr>
        <w:spacing w:before="120"/>
        <w:ind w:left="690" w:hanging="240"/>
        <w:rPr>
          <w:rFonts w:ascii="等线" w:eastAsia="等线" w:hAnsi="Times New Roman"/>
          <w:color w:val="000000"/>
        </w:rPr>
      </w:pPr>
      <w:r w:rsidRPr="00282ECF">
        <w:rPr>
          <w:rFonts w:ascii="等线" w:eastAsia="等线" w:hAnsi="Times New Roman"/>
          <w:color w:val="000000"/>
        </w:rPr>
        <w:t>Represented JP Morgan, Black Diamond and Third Avenue in connection to their USD 130 million bankruptcy finance facility (US and international bonds), with bankruptcy asset purchase and additional mortgage arrangement, to Reichhold, Inc.</w:t>
      </w:r>
    </w:p>
    <w:p w14:paraId="50AC9495" w14:textId="77777777" w:rsidR="00282ECF" w:rsidRDefault="00282ECF" w:rsidP="00282ECF">
      <w:pPr>
        <w:pStyle w:val="af5"/>
        <w:numPr>
          <w:ilvl w:val="0"/>
          <w:numId w:val="16"/>
        </w:numPr>
        <w:spacing w:before="120"/>
        <w:ind w:left="690" w:hanging="240"/>
        <w:rPr>
          <w:rFonts w:ascii="等线" w:eastAsia="等线" w:hAnsi="Times New Roman"/>
          <w:color w:val="000000"/>
        </w:rPr>
      </w:pPr>
      <w:r w:rsidRPr="00282ECF">
        <w:rPr>
          <w:rFonts w:ascii="等线" w:eastAsia="等线" w:hAnsi="Times New Roman"/>
          <w:color w:val="000000"/>
        </w:rPr>
        <w:t>Served as outside counsel for a leading blockchain technology company in Asia, providing all legal services, including corporate governance and other internal system setups and cooperation and external cooperation and investment</w:t>
      </w:r>
    </w:p>
    <w:p w14:paraId="44E67DB3" w14:textId="77777777" w:rsidR="00282ECF" w:rsidRDefault="00282ECF" w:rsidP="00282ECF">
      <w:pPr>
        <w:pStyle w:val="af5"/>
        <w:numPr>
          <w:ilvl w:val="0"/>
          <w:numId w:val="17"/>
        </w:numPr>
        <w:spacing w:before="120"/>
        <w:ind w:left="690" w:hanging="240"/>
        <w:rPr>
          <w:rFonts w:ascii="等线" w:eastAsia="等线" w:hAnsi="Times New Roman"/>
          <w:color w:val="000000"/>
        </w:rPr>
      </w:pPr>
      <w:r w:rsidRPr="00282ECF">
        <w:rPr>
          <w:rFonts w:ascii="等线" w:eastAsia="等线" w:hAnsi="Times New Roman"/>
          <w:color w:val="000000"/>
        </w:rPr>
        <w:t>Represented various investors in their investments in cryptocurrency or blockchain</w:t>
      </w:r>
    </w:p>
    <w:p w14:paraId="1DFD5D0D" w14:textId="77777777" w:rsidR="00282ECF" w:rsidRDefault="00282ECF" w:rsidP="00282ECF">
      <w:pPr>
        <w:pStyle w:val="af5"/>
        <w:spacing w:after="0" w:line="480" w:lineRule="auto"/>
        <w:rPr>
          <w:rFonts w:ascii="等线" w:eastAsia="等线" w:hAnsi="等线"/>
          <w:b/>
          <w:sz w:val="24"/>
        </w:rPr>
      </w:pPr>
      <w:r w:rsidRPr="00282ECF">
        <w:rPr>
          <w:rFonts w:ascii="等线" w:eastAsia="等线" w:hAnsi="等线"/>
          <w:b/>
          <w:sz w:val="24"/>
        </w:rPr>
        <w:t>Education</w:t>
      </w:r>
    </w:p>
    <w:p w14:paraId="25DD9B50" w14:textId="77777777" w:rsidR="00282ECF" w:rsidRDefault="00282ECF" w:rsidP="00282ECF">
      <w:pPr>
        <w:pStyle w:val="af5"/>
        <w:numPr>
          <w:ilvl w:val="0"/>
          <w:numId w:val="18"/>
        </w:numPr>
        <w:spacing w:before="120"/>
        <w:ind w:left="690" w:hanging="240"/>
        <w:rPr>
          <w:rFonts w:ascii="等线" w:eastAsia="等线" w:hAnsi="Times New Roman"/>
          <w:color w:val="000000"/>
        </w:rPr>
      </w:pPr>
      <w:r w:rsidRPr="00282ECF">
        <w:rPr>
          <w:rFonts w:ascii="等线" w:eastAsia="等线" w:hAnsi="Times New Roman"/>
          <w:color w:val="000000"/>
        </w:rPr>
        <w:t>Columbia Law School, US, J.D. 2011</w:t>
      </w:r>
    </w:p>
    <w:p w14:paraId="5BEEDEC0" w14:textId="77777777" w:rsidR="00282ECF" w:rsidRDefault="00282ECF" w:rsidP="00282ECF">
      <w:pPr>
        <w:pStyle w:val="af5"/>
        <w:numPr>
          <w:ilvl w:val="0"/>
          <w:numId w:val="19"/>
        </w:numPr>
        <w:spacing w:before="120"/>
        <w:ind w:left="690" w:hanging="240"/>
        <w:rPr>
          <w:rFonts w:ascii="等线" w:eastAsia="等线" w:hAnsi="Times New Roman"/>
          <w:color w:val="000000"/>
        </w:rPr>
      </w:pPr>
      <w:r w:rsidRPr="00282ECF">
        <w:rPr>
          <w:rFonts w:ascii="等线" w:eastAsia="等线" w:hAnsi="Times New Roman"/>
          <w:color w:val="000000"/>
        </w:rPr>
        <w:t>Columbia Law School, US, LL.M. 2009</w:t>
      </w:r>
    </w:p>
    <w:p w14:paraId="7D5B98BB" w14:textId="77777777" w:rsidR="00282ECF" w:rsidRDefault="00282ECF" w:rsidP="00282ECF">
      <w:pPr>
        <w:pStyle w:val="af5"/>
        <w:numPr>
          <w:ilvl w:val="0"/>
          <w:numId w:val="20"/>
        </w:numPr>
        <w:spacing w:before="120"/>
        <w:ind w:left="690" w:hanging="240"/>
        <w:rPr>
          <w:rFonts w:ascii="等线" w:eastAsia="等线" w:hAnsi="Times New Roman"/>
          <w:color w:val="000000"/>
        </w:rPr>
      </w:pPr>
      <w:r w:rsidRPr="00282ECF">
        <w:rPr>
          <w:rFonts w:ascii="等线" w:eastAsia="等线" w:hAnsi="Times New Roman"/>
          <w:color w:val="000000"/>
        </w:rPr>
        <w:t>Groningen University, the Netherlands, Ph.D. 2007</w:t>
      </w:r>
    </w:p>
    <w:p w14:paraId="3A71C0A8" w14:textId="77777777" w:rsidR="00282ECF" w:rsidRDefault="00282ECF" w:rsidP="00282ECF">
      <w:pPr>
        <w:pStyle w:val="af5"/>
        <w:numPr>
          <w:ilvl w:val="0"/>
          <w:numId w:val="21"/>
        </w:numPr>
        <w:spacing w:before="120"/>
        <w:ind w:left="690" w:hanging="240"/>
        <w:rPr>
          <w:rFonts w:ascii="等线" w:eastAsia="等线" w:hAnsi="Times New Roman"/>
          <w:color w:val="000000"/>
        </w:rPr>
      </w:pPr>
      <w:r w:rsidRPr="00282ECF">
        <w:rPr>
          <w:rFonts w:ascii="等线" w:eastAsia="等线" w:hAnsi="Times New Roman"/>
          <w:color w:val="000000"/>
        </w:rPr>
        <w:t>Groningen University, the Netherlands, LL.M. 2002</w:t>
      </w:r>
    </w:p>
    <w:p w14:paraId="0F13469A" w14:textId="77777777" w:rsidR="00282ECF" w:rsidRDefault="00282ECF" w:rsidP="00282ECF">
      <w:pPr>
        <w:pStyle w:val="af5"/>
        <w:numPr>
          <w:ilvl w:val="0"/>
          <w:numId w:val="22"/>
        </w:numPr>
        <w:spacing w:before="120"/>
        <w:ind w:left="690" w:hanging="240"/>
        <w:rPr>
          <w:rFonts w:ascii="等线" w:eastAsia="等线" w:hAnsi="Times New Roman"/>
          <w:color w:val="000000"/>
        </w:rPr>
      </w:pPr>
      <w:r w:rsidRPr="00282ECF">
        <w:rPr>
          <w:rFonts w:ascii="等线" w:eastAsia="等线" w:hAnsi="Times New Roman"/>
          <w:color w:val="000000"/>
        </w:rPr>
        <w:t>Fudan University School of Law, LL.B. 2001</w:t>
      </w:r>
    </w:p>
    <w:p w14:paraId="22310026" w14:textId="77777777" w:rsidR="00282ECF" w:rsidRDefault="00282ECF" w:rsidP="00282ECF">
      <w:pPr>
        <w:pStyle w:val="af5"/>
        <w:numPr>
          <w:ilvl w:val="0"/>
          <w:numId w:val="23"/>
        </w:numPr>
        <w:spacing w:before="120"/>
        <w:ind w:left="690" w:hanging="240"/>
        <w:rPr>
          <w:rFonts w:ascii="等线" w:eastAsia="等线" w:hAnsi="Times New Roman"/>
          <w:color w:val="000000"/>
        </w:rPr>
      </w:pPr>
      <w:r w:rsidRPr="00282ECF">
        <w:rPr>
          <w:rFonts w:ascii="等线" w:eastAsia="等线" w:hAnsi="Times New Roman"/>
          <w:color w:val="000000"/>
        </w:rPr>
        <w:t>Beijing Language and Culture University, B.A. 1999</w:t>
      </w:r>
    </w:p>
    <w:p w14:paraId="521E347F" w14:textId="77777777" w:rsidR="00282ECF" w:rsidRDefault="00282ECF" w:rsidP="00282ECF">
      <w:pPr>
        <w:pStyle w:val="af5"/>
        <w:spacing w:after="0" w:line="480" w:lineRule="auto"/>
        <w:rPr>
          <w:rFonts w:ascii="等线" w:eastAsia="等线" w:hAnsi="等线"/>
          <w:b/>
          <w:sz w:val="24"/>
        </w:rPr>
      </w:pPr>
      <w:r w:rsidRPr="00282ECF">
        <w:rPr>
          <w:rFonts w:ascii="等线" w:eastAsia="等线" w:hAnsi="等线"/>
          <w:b/>
          <w:sz w:val="24"/>
        </w:rPr>
        <w:t>Professional Qualification</w:t>
      </w:r>
    </w:p>
    <w:p w14:paraId="305CE624" w14:textId="77777777" w:rsidR="00282ECF" w:rsidRDefault="00282ECF" w:rsidP="00282ECF">
      <w:pPr>
        <w:pStyle w:val="af5"/>
        <w:numPr>
          <w:ilvl w:val="0"/>
          <w:numId w:val="24"/>
        </w:numPr>
        <w:spacing w:before="120"/>
        <w:ind w:left="690" w:hanging="240"/>
        <w:rPr>
          <w:rFonts w:ascii="等线" w:eastAsia="等线" w:hAnsi="Times New Roman"/>
          <w:color w:val="000000"/>
        </w:rPr>
      </w:pPr>
      <w:r w:rsidRPr="00282ECF">
        <w:rPr>
          <w:rFonts w:ascii="等线" w:eastAsia="等线" w:hAnsi="Times New Roman"/>
          <w:color w:val="000000"/>
        </w:rPr>
        <w:t>Admitted to practice in the PRC</w:t>
      </w:r>
    </w:p>
    <w:p w14:paraId="56A36112" w14:textId="77777777" w:rsidR="00282ECF" w:rsidRDefault="00282ECF" w:rsidP="00282ECF">
      <w:pPr>
        <w:pStyle w:val="af5"/>
        <w:numPr>
          <w:ilvl w:val="0"/>
          <w:numId w:val="25"/>
        </w:numPr>
        <w:spacing w:before="120"/>
        <w:ind w:left="690" w:hanging="240"/>
        <w:rPr>
          <w:rFonts w:ascii="等线" w:eastAsia="等线" w:hAnsi="Times New Roman"/>
          <w:color w:val="000000"/>
        </w:rPr>
      </w:pPr>
      <w:r w:rsidRPr="00282ECF">
        <w:rPr>
          <w:rFonts w:ascii="等线" w:eastAsia="等线" w:hAnsi="Times New Roman"/>
          <w:color w:val="000000"/>
        </w:rPr>
        <w:t>Admitted to practice in New York</w:t>
      </w:r>
    </w:p>
    <w:p w14:paraId="7BF4A1A8" w14:textId="77777777" w:rsidR="00282ECF" w:rsidRDefault="00282ECF" w:rsidP="00282ECF">
      <w:pPr>
        <w:pStyle w:val="af5"/>
        <w:numPr>
          <w:ilvl w:val="0"/>
          <w:numId w:val="26"/>
        </w:numPr>
        <w:spacing w:before="120"/>
        <w:ind w:left="690" w:hanging="240"/>
        <w:rPr>
          <w:rFonts w:ascii="等线" w:eastAsia="等线" w:hAnsi="Times New Roman"/>
          <w:color w:val="000000"/>
        </w:rPr>
      </w:pPr>
      <w:r w:rsidRPr="00282ECF">
        <w:rPr>
          <w:rFonts w:ascii="等线" w:eastAsia="等线" w:hAnsi="Times New Roman"/>
          <w:color w:val="000000"/>
        </w:rPr>
        <w:t>Admitted to practice in Hong Kong</w:t>
      </w:r>
    </w:p>
    <w:p w14:paraId="47D312DC" w14:textId="77777777" w:rsidR="00282ECF" w:rsidRDefault="00282ECF" w:rsidP="00282ECF">
      <w:pPr>
        <w:pStyle w:val="af5"/>
        <w:spacing w:after="0" w:line="480" w:lineRule="auto"/>
        <w:rPr>
          <w:rFonts w:ascii="等线" w:eastAsia="等线" w:hAnsi="等线"/>
          <w:b/>
          <w:sz w:val="24"/>
        </w:rPr>
      </w:pPr>
      <w:r w:rsidRPr="00282ECF">
        <w:rPr>
          <w:rFonts w:ascii="等线" w:eastAsia="等线" w:hAnsi="等线"/>
          <w:b/>
          <w:sz w:val="24"/>
        </w:rPr>
        <w:t>Professional Background</w:t>
      </w:r>
    </w:p>
    <w:p w14:paraId="5567FC3C" w14:textId="00C65F2B" w:rsidR="00686369" w:rsidRPr="00282ECF" w:rsidRDefault="00282ECF" w:rsidP="00282ECF">
      <w:pPr>
        <w:pStyle w:val="af5"/>
        <w:numPr>
          <w:ilvl w:val="0"/>
          <w:numId w:val="27"/>
        </w:numPr>
        <w:spacing w:before="120"/>
        <w:ind w:left="690" w:hanging="240"/>
        <w:rPr>
          <w:rFonts w:ascii="等线" w:eastAsia="等线" w:hAnsi="Times New Roman"/>
          <w:color w:val="000000"/>
        </w:rPr>
      </w:pPr>
      <w:r w:rsidRPr="00282ECF">
        <w:rPr>
          <w:rFonts w:ascii="等线" w:eastAsia="等线" w:hAnsi="Times New Roman"/>
          <w:color w:val="000000"/>
        </w:rPr>
        <w:t xml:space="preserve">Mr. Yuan joined Fangda in 2018 as a partner. Prior to joining the firm, he had worked with elite PRC, US and UK firms for over ten years. The </w:t>
      </w:r>
      <w:r w:rsidRPr="00282ECF">
        <w:rPr>
          <w:rFonts w:ascii="等线" w:eastAsia="等线" w:hAnsi="Times New Roman"/>
          <w:color w:val="000000"/>
        </w:rPr>
        <w:t>“</w:t>
      </w:r>
      <w:r w:rsidRPr="00282ECF">
        <w:rPr>
          <w:rFonts w:ascii="等线" w:eastAsia="等线" w:hAnsi="Times New Roman"/>
          <w:color w:val="000000"/>
        </w:rPr>
        <w:t>Universal Theme Park Financing</w:t>
      </w:r>
      <w:r w:rsidRPr="00282ECF">
        <w:rPr>
          <w:rFonts w:ascii="等线" w:eastAsia="等线" w:hAnsi="Times New Roman"/>
          <w:color w:val="000000"/>
        </w:rPr>
        <w:t>”</w:t>
      </w:r>
      <w:r w:rsidRPr="00282ECF">
        <w:rPr>
          <w:rFonts w:ascii="等线" w:eastAsia="等线" w:hAnsi="Times New Roman"/>
          <w:color w:val="000000"/>
        </w:rPr>
        <w:t xml:space="preserve"> project (PRC law) led by Mr. Yuan was awarded the </w:t>
      </w:r>
      <w:r w:rsidRPr="00282ECF">
        <w:rPr>
          <w:rFonts w:ascii="等线" w:eastAsia="等线" w:hAnsi="Times New Roman"/>
          <w:color w:val="000000"/>
        </w:rPr>
        <w:t>“</w:t>
      </w:r>
      <w:r w:rsidRPr="00282ECF">
        <w:rPr>
          <w:rFonts w:ascii="等线" w:eastAsia="等线" w:hAnsi="Times New Roman"/>
          <w:color w:val="000000"/>
        </w:rPr>
        <w:t>Project Finance of the Year</w:t>
      </w:r>
      <w:r w:rsidRPr="00282ECF">
        <w:rPr>
          <w:rFonts w:ascii="等线" w:eastAsia="等线" w:hAnsi="Times New Roman"/>
          <w:color w:val="000000"/>
        </w:rPr>
        <w:t>”</w:t>
      </w:r>
      <w:r w:rsidRPr="00282ECF">
        <w:rPr>
          <w:rFonts w:ascii="等线" w:eastAsia="等线" w:hAnsi="Times New Roman"/>
          <w:color w:val="000000"/>
        </w:rPr>
        <w:t xml:space="preserve"> by </w:t>
      </w:r>
      <w:r w:rsidRPr="00282ECF">
        <w:rPr>
          <w:rFonts w:ascii="等线" w:eastAsia="等线" w:hAnsi="Times New Roman"/>
          <w:color w:val="000000"/>
        </w:rPr>
        <w:t>“</w:t>
      </w:r>
      <w:r w:rsidRPr="00282ECF">
        <w:rPr>
          <w:rFonts w:ascii="等线" w:eastAsia="等线" w:hAnsi="Times New Roman"/>
          <w:color w:val="000000"/>
        </w:rPr>
        <w:t>Asian Legal Business</w:t>
      </w:r>
      <w:r w:rsidRPr="00282ECF">
        <w:rPr>
          <w:rFonts w:ascii="等线" w:eastAsia="等线" w:hAnsi="Times New Roman"/>
          <w:color w:val="000000"/>
        </w:rPr>
        <w:t>”</w:t>
      </w:r>
      <w:r w:rsidRPr="00282ECF">
        <w:rPr>
          <w:rFonts w:ascii="等线" w:eastAsia="等线" w:hAnsi="Times New Roman"/>
          <w:color w:val="000000"/>
        </w:rPr>
        <w:t xml:space="preserve"> in 2019 and nominated for the </w:t>
      </w:r>
      <w:r w:rsidRPr="00282ECF">
        <w:rPr>
          <w:rFonts w:ascii="等线" w:eastAsia="等线" w:hAnsi="Times New Roman"/>
          <w:color w:val="000000"/>
        </w:rPr>
        <w:t>“</w:t>
      </w:r>
      <w:r w:rsidRPr="00282ECF">
        <w:rPr>
          <w:rFonts w:ascii="等线" w:eastAsia="等线" w:hAnsi="Times New Roman"/>
          <w:color w:val="000000"/>
        </w:rPr>
        <w:t>Deal of the Year</w:t>
      </w:r>
      <w:r w:rsidRPr="00282ECF">
        <w:rPr>
          <w:rFonts w:ascii="等线" w:eastAsia="等线" w:hAnsi="Times New Roman"/>
          <w:color w:val="000000"/>
        </w:rPr>
        <w:t>”</w:t>
      </w:r>
      <w:r w:rsidRPr="00282ECF">
        <w:rPr>
          <w:rFonts w:ascii="等线" w:eastAsia="等线" w:hAnsi="Times New Roman"/>
          <w:color w:val="000000"/>
        </w:rPr>
        <w:t xml:space="preserve"> in banking and finance sector by </w:t>
      </w:r>
      <w:r w:rsidRPr="00282ECF">
        <w:rPr>
          <w:rFonts w:ascii="等线" w:eastAsia="等线" w:hAnsi="Times New Roman"/>
          <w:color w:val="000000"/>
        </w:rPr>
        <w:t>“</w:t>
      </w:r>
      <w:r w:rsidRPr="00282ECF">
        <w:rPr>
          <w:rFonts w:ascii="等线" w:eastAsia="等线" w:hAnsi="Times New Roman"/>
          <w:color w:val="000000"/>
        </w:rPr>
        <w:t>China Law &amp; Practice</w:t>
      </w:r>
      <w:r w:rsidRPr="00282ECF">
        <w:rPr>
          <w:rFonts w:ascii="等线" w:eastAsia="等线" w:hAnsi="Times New Roman"/>
          <w:color w:val="000000"/>
        </w:rPr>
        <w:t>”</w:t>
      </w:r>
      <w:r w:rsidRPr="00282ECF">
        <w:rPr>
          <w:rFonts w:ascii="等线" w:eastAsia="等线" w:hAnsi="Times New Roman"/>
          <w:color w:val="000000"/>
        </w:rPr>
        <w:t xml:space="preserve"> in 2018. Mr. Yuan was recommended by </w:t>
      </w:r>
      <w:r w:rsidRPr="00282ECF">
        <w:rPr>
          <w:rFonts w:ascii="等线" w:eastAsia="等线" w:hAnsi="Times New Roman"/>
          <w:color w:val="000000"/>
        </w:rPr>
        <w:t>“</w:t>
      </w:r>
      <w:r w:rsidRPr="00282ECF">
        <w:rPr>
          <w:rFonts w:ascii="等线" w:eastAsia="等线" w:hAnsi="Times New Roman"/>
          <w:color w:val="000000"/>
        </w:rPr>
        <w:t>Legal 500</w:t>
      </w:r>
      <w:r w:rsidRPr="00282ECF">
        <w:rPr>
          <w:rFonts w:ascii="等线" w:eastAsia="等线" w:hAnsi="Times New Roman"/>
          <w:color w:val="000000"/>
        </w:rPr>
        <w:t>”</w:t>
      </w:r>
      <w:r w:rsidRPr="00282ECF">
        <w:rPr>
          <w:rFonts w:ascii="等线" w:eastAsia="等线" w:hAnsi="Times New Roman"/>
          <w:color w:val="000000"/>
        </w:rPr>
        <w:t xml:space="preserve">in the PRC banking law sector for 2017 and 2019. In addition, Mr. Yuan worked on an USD 850 million export finance facility (New York law) from Export-Import Bank of the United States and a consortium led by JP Morgan Chase to a Mexican petrochemical company, which was selected as the </w:t>
      </w:r>
      <w:r w:rsidRPr="00282ECF">
        <w:rPr>
          <w:rFonts w:ascii="等线" w:eastAsia="等线" w:hAnsi="Times New Roman"/>
          <w:color w:val="000000"/>
        </w:rPr>
        <w:t>“</w:t>
      </w:r>
      <w:r w:rsidRPr="00282ECF">
        <w:rPr>
          <w:rFonts w:ascii="等线" w:eastAsia="等线" w:hAnsi="Times New Roman"/>
          <w:color w:val="000000"/>
        </w:rPr>
        <w:t>Deal of the Year</w:t>
      </w:r>
      <w:r w:rsidRPr="00282ECF">
        <w:rPr>
          <w:rFonts w:ascii="等线" w:eastAsia="等线" w:hAnsi="Times New Roman"/>
          <w:color w:val="000000"/>
        </w:rPr>
        <w:t>”</w:t>
      </w:r>
      <w:r w:rsidRPr="00282ECF">
        <w:rPr>
          <w:rFonts w:ascii="等线" w:eastAsia="等线" w:hAnsi="Times New Roman"/>
          <w:color w:val="000000"/>
        </w:rPr>
        <w:t xml:space="preserve"> for the year 2013 by </w:t>
      </w:r>
      <w:r w:rsidRPr="00282ECF">
        <w:rPr>
          <w:rFonts w:ascii="等线" w:eastAsia="等线" w:hAnsi="Times New Roman"/>
          <w:color w:val="000000"/>
        </w:rPr>
        <w:t>“</w:t>
      </w:r>
      <w:r w:rsidRPr="00282ECF">
        <w:rPr>
          <w:rFonts w:ascii="等线" w:eastAsia="等线" w:hAnsi="Times New Roman"/>
          <w:color w:val="000000"/>
        </w:rPr>
        <w:t>Trade Finance</w:t>
      </w:r>
      <w:r w:rsidRPr="00282ECF">
        <w:rPr>
          <w:rFonts w:ascii="等线" w:eastAsia="等线" w:hAnsi="Times New Roman"/>
          <w:color w:val="000000"/>
        </w:rPr>
        <w:t>”</w:t>
      </w:r>
      <w:r w:rsidRPr="00282ECF">
        <w:rPr>
          <w:rFonts w:ascii="等线" w:eastAsia="等线" w:hAnsi="Times New Roman"/>
          <w:color w:val="000000"/>
        </w:rPr>
        <w:t>.</w:t>
      </w:r>
    </w:p>
    <w:sectPr w:rsidR="00686369" w:rsidRPr="00282EC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70387"/>
    <w:multiLevelType w:val="singleLevel"/>
    <w:tmpl w:val="86F8407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F459B0"/>
    <w:multiLevelType w:val="singleLevel"/>
    <w:tmpl w:val="79F8836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8D4E92"/>
    <w:multiLevelType w:val="singleLevel"/>
    <w:tmpl w:val="AA78730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7804659"/>
    <w:multiLevelType w:val="singleLevel"/>
    <w:tmpl w:val="719861A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8D26E72"/>
    <w:multiLevelType w:val="singleLevel"/>
    <w:tmpl w:val="9796CF9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804EAF"/>
    <w:multiLevelType w:val="singleLevel"/>
    <w:tmpl w:val="04E2CB0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42E342F"/>
    <w:multiLevelType w:val="singleLevel"/>
    <w:tmpl w:val="8990DE9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81B58B9"/>
    <w:multiLevelType w:val="singleLevel"/>
    <w:tmpl w:val="FE4EC25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81F5652"/>
    <w:multiLevelType w:val="singleLevel"/>
    <w:tmpl w:val="7E74A28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8712CA6"/>
    <w:multiLevelType w:val="singleLevel"/>
    <w:tmpl w:val="B3C89CC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AEC49DD"/>
    <w:multiLevelType w:val="singleLevel"/>
    <w:tmpl w:val="966067F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AF232A2"/>
    <w:multiLevelType w:val="singleLevel"/>
    <w:tmpl w:val="32B8048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D3057F5"/>
    <w:multiLevelType w:val="singleLevel"/>
    <w:tmpl w:val="257EE00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1665BA8"/>
    <w:multiLevelType w:val="singleLevel"/>
    <w:tmpl w:val="097ADAC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2A770D7"/>
    <w:multiLevelType w:val="singleLevel"/>
    <w:tmpl w:val="CF46433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6447CD0"/>
    <w:multiLevelType w:val="singleLevel"/>
    <w:tmpl w:val="1F92A39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41D66B4E"/>
    <w:multiLevelType w:val="singleLevel"/>
    <w:tmpl w:val="7D8E19A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B1707F4"/>
    <w:multiLevelType w:val="singleLevel"/>
    <w:tmpl w:val="99D2BD0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F8F71CF"/>
    <w:multiLevelType w:val="singleLevel"/>
    <w:tmpl w:val="BBC624E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9AC534E"/>
    <w:multiLevelType w:val="singleLevel"/>
    <w:tmpl w:val="3580F75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F7F4461"/>
    <w:multiLevelType w:val="singleLevel"/>
    <w:tmpl w:val="9C2EFE5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4613C54"/>
    <w:multiLevelType w:val="singleLevel"/>
    <w:tmpl w:val="A23AF2D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7B85039"/>
    <w:multiLevelType w:val="singleLevel"/>
    <w:tmpl w:val="DE16904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D040A4F"/>
    <w:multiLevelType w:val="singleLevel"/>
    <w:tmpl w:val="AA78730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12B4372"/>
    <w:multiLevelType w:val="singleLevel"/>
    <w:tmpl w:val="6CFC8E64"/>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7"/>
  </w:num>
  <w:num w:numId="3">
    <w:abstractNumId w:val="1"/>
  </w:num>
  <w:num w:numId="4">
    <w:abstractNumId w:val="5"/>
  </w:num>
  <w:num w:numId="5">
    <w:abstractNumId w:val="12"/>
  </w:num>
  <w:num w:numId="6">
    <w:abstractNumId w:val="19"/>
  </w:num>
  <w:num w:numId="7">
    <w:abstractNumId w:val="7"/>
  </w:num>
  <w:num w:numId="8">
    <w:abstractNumId w:val="15"/>
  </w:num>
  <w:num w:numId="9">
    <w:abstractNumId w:val="18"/>
  </w:num>
  <w:num w:numId="10">
    <w:abstractNumId w:val="26"/>
  </w:num>
  <w:num w:numId="11">
    <w:abstractNumId w:val="4"/>
  </w:num>
  <w:num w:numId="12">
    <w:abstractNumId w:val="9"/>
  </w:num>
  <w:num w:numId="13">
    <w:abstractNumId w:val="22"/>
  </w:num>
  <w:num w:numId="14">
    <w:abstractNumId w:val="24"/>
  </w:num>
  <w:num w:numId="15">
    <w:abstractNumId w:val="8"/>
  </w:num>
  <w:num w:numId="16">
    <w:abstractNumId w:val="20"/>
  </w:num>
  <w:num w:numId="17">
    <w:abstractNumId w:val="21"/>
  </w:num>
  <w:num w:numId="18">
    <w:abstractNumId w:val="11"/>
  </w:num>
  <w:num w:numId="19">
    <w:abstractNumId w:val="23"/>
  </w:num>
  <w:num w:numId="20">
    <w:abstractNumId w:val="14"/>
  </w:num>
  <w:num w:numId="21">
    <w:abstractNumId w:val="3"/>
  </w:num>
  <w:num w:numId="22">
    <w:abstractNumId w:val="16"/>
  </w:num>
  <w:num w:numId="23">
    <w:abstractNumId w:val="6"/>
  </w:num>
  <w:num w:numId="24">
    <w:abstractNumId w:val="10"/>
  </w:num>
  <w:num w:numId="25">
    <w:abstractNumId w:val="0"/>
  </w:num>
  <w:num w:numId="26">
    <w:abstractNumId w:val="2"/>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2ECF"/>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82ECF"/>
    <w:pPr>
      <w:spacing w:after="120"/>
    </w:pPr>
  </w:style>
  <w:style w:type="character" w:customStyle="1" w:styleId="af6">
    <w:name w:val="正文文本 字符"/>
    <w:basedOn w:val="a0"/>
    <w:link w:val="af5"/>
    <w:uiPriority w:val="99"/>
    <w:rsid w:val="00282EC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2633FE-85AA-4406-8E3B-E24D0C1FA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622</Words>
  <Characters>3550</Characters>
  <Application>Microsoft Office Word</Application>
  <DocSecurity>0</DocSecurity>
  <Lines>29</Lines>
  <Paragraphs>8</Paragraphs>
  <ScaleCrop>false</ScaleCrop>
  <Company/>
  <LinksUpToDate>false</LinksUpToDate>
  <CharactersWithSpaces>4164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2026-05-17T01:13:00Z</dcterms:created>
  <dcterms:modified xsi:type="dcterms:W3CDTF">2026-05-17T01:13:00Z</dcterms:modified>
</cp:coreProperties>
</file>