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03BE67DC" w:rsidR="0049405C" w:rsidRPr="00C24D79" w:rsidRDefault="00934F59" w:rsidP="00934F59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934F59">
              <w:rPr>
                <w:rFonts w:ascii="等线" w:eastAsia="等线" w:hAnsi="Times New Roman"/>
                <w:b/>
                <w:color w:val="000000"/>
                <w:sz w:val="48"/>
              </w:rPr>
              <w:t>JONATHAN WALLENBERGER</w:t>
            </w:r>
            <w:bookmarkEnd w:id="0"/>
          </w:p>
          <w:p w14:paraId="706EB16B" w14:textId="3AA31580" w:rsidR="0049405C" w:rsidRPr="00C24D79" w:rsidRDefault="00934F59" w:rsidP="00934F59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934F59">
              <w:rPr>
                <w:rFonts w:ascii="等线" w:eastAsia="等线" w:hAnsi="Times New Roman"/>
                <w:b/>
                <w:bCs/>
                <w:color w:val="000000"/>
              </w:rPr>
              <w:t>Registered Foreign Lawyer (New York&amp;#x2c; USA)</w:t>
            </w:r>
            <w:r w:rsidRPr="00934F59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934F59">
              <w:rPr>
                <w:rFonts w:ascii="等线" w:eastAsia="等线" w:hAnsi="Times New Roman"/>
                <w:b/>
                <w:bCs/>
                <w:color w:val="000000"/>
              </w:rPr>
              <w:t>Hong Kong</w:t>
            </w:r>
            <w:bookmarkEnd w:id="2"/>
          </w:p>
          <w:p w14:paraId="6199424A" w14:textId="1D7C9A48" w:rsidR="0049405C" w:rsidRPr="00C24D79" w:rsidRDefault="00934F59" w:rsidP="00934F59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934F59">
              <w:rPr>
                <w:rFonts w:ascii="等线" w:eastAsia="等线" w:hAnsi="Times New Roman"/>
                <w:color w:val="000000"/>
              </w:rPr>
              <w:t xml:space="preserve">+852 3976 8846 </w:t>
            </w:r>
            <w:bookmarkEnd w:id="3"/>
          </w:p>
          <w:p w14:paraId="4F910ACA" w14:textId="50377A45" w:rsidR="0049405C" w:rsidRPr="00C24D79" w:rsidRDefault="00934F59" w:rsidP="00934F59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934F59">
              <w:rPr>
                <w:rFonts w:ascii="等线" w:eastAsia="等线" w:hAnsi="Times New Roman"/>
                <w:color w:val="000000"/>
              </w:rPr>
              <w:t>jonathan.wallenberger@fangdalaw.com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255376A2" w:rsidR="0049405C" w:rsidRPr="00C24D79" w:rsidRDefault="00934F59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0DFAF63A" wp14:editId="705B2FD6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7B5A9928" w:rsidR="009465FB" w:rsidRPr="00C24D79" w:rsidRDefault="00934F59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934F59">
              <w:rPr>
                <w:rFonts w:ascii="等线" w:eastAsia="等线" w:hAnsi="Times New Roman"/>
                <w:color w:val="000000"/>
                <w:szCs w:val="21"/>
              </w:rPr>
              <w:t>MR. WALLENBERGER SPECIALIZES IN US AND INTERNATIONAL CAPITAL MARKETS TRANSACTIONS.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433F023C" w14:textId="77777777" w:rsidR="00934F59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4CB9B840" w14:textId="77777777" w:rsidR="00934F59" w:rsidRDefault="00934F59" w:rsidP="00934F59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934F59">
        <w:rPr>
          <w:rFonts w:ascii="等线" w:eastAsia="等线" w:hAnsi="等线"/>
          <w:b/>
          <w:sz w:val="24"/>
        </w:rPr>
        <w:t>REPRESENTATIVE MATTERS AND CASES</w:t>
      </w:r>
    </w:p>
    <w:p w14:paraId="244BF8D2" w14:textId="77777777" w:rsidR="00934F59" w:rsidRDefault="00934F59" w:rsidP="00934F59">
      <w:pPr>
        <w:pStyle w:val="af5"/>
        <w:spacing w:before="120"/>
        <w:rPr>
          <w:rFonts w:ascii="等线" w:eastAsia="等线" w:hAnsi="Times New Roman"/>
          <w:color w:val="000000"/>
        </w:rPr>
      </w:pPr>
      <w:r w:rsidRPr="00934F59">
        <w:rPr>
          <w:rFonts w:ascii="等线" w:eastAsia="等线" w:hAnsi="Times New Roman"/>
          <w:color w:val="000000"/>
        </w:rPr>
        <w:t>Played a prominent role in delivery of US securities law compliance advice to five NYSE-listed Fortune Global 100 companies</w:t>
      </w:r>
    </w:p>
    <w:p w14:paraId="617D8B5C" w14:textId="77777777" w:rsidR="00934F59" w:rsidRDefault="00934F59" w:rsidP="00934F59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34F59">
        <w:rPr>
          <w:rFonts w:ascii="等线" w:eastAsia="等线" w:hAnsi="Times New Roman"/>
          <w:color w:val="000000"/>
        </w:rPr>
        <w:t xml:space="preserve">HSBC Holdings plc (2010 </w:t>
      </w:r>
      <w:r w:rsidRPr="00934F59">
        <w:rPr>
          <w:rFonts w:ascii="等线" w:eastAsia="等线" w:hAnsi="Times New Roman"/>
          <w:color w:val="000000"/>
        </w:rPr>
        <w:t>–</w:t>
      </w:r>
      <w:r w:rsidRPr="00934F59">
        <w:rPr>
          <w:rFonts w:ascii="等线" w:eastAsia="等线" w:hAnsi="Times New Roman"/>
          <w:color w:val="000000"/>
        </w:rPr>
        <w:t xml:space="preserve"> 2011)</w:t>
      </w:r>
    </w:p>
    <w:p w14:paraId="5157B1B0" w14:textId="77777777" w:rsidR="00934F59" w:rsidRDefault="00934F59" w:rsidP="00934F59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34F59">
        <w:rPr>
          <w:rFonts w:ascii="等线" w:eastAsia="等线" w:hAnsi="Times New Roman"/>
          <w:color w:val="000000"/>
        </w:rPr>
        <w:t xml:space="preserve">Siemens AG (2005 </w:t>
      </w:r>
      <w:r w:rsidRPr="00934F59">
        <w:rPr>
          <w:rFonts w:ascii="等线" w:eastAsia="等线" w:hAnsi="Times New Roman"/>
          <w:color w:val="000000"/>
        </w:rPr>
        <w:t>–</w:t>
      </w:r>
      <w:r w:rsidRPr="00934F59">
        <w:rPr>
          <w:rFonts w:ascii="等线" w:eastAsia="等线" w:hAnsi="Times New Roman"/>
          <w:color w:val="000000"/>
        </w:rPr>
        <w:t xml:space="preserve"> 2009)</w:t>
      </w:r>
    </w:p>
    <w:p w14:paraId="779983AC" w14:textId="77777777" w:rsidR="00934F59" w:rsidRDefault="00934F59" w:rsidP="00934F59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34F59">
        <w:rPr>
          <w:rFonts w:ascii="等线" w:eastAsia="等线" w:hAnsi="Times New Roman"/>
          <w:color w:val="000000"/>
        </w:rPr>
        <w:t xml:space="preserve">Petroleo Brasileiro </w:t>
      </w:r>
      <w:r w:rsidRPr="00934F59">
        <w:rPr>
          <w:rFonts w:ascii="等线" w:eastAsia="等线" w:hAnsi="Times New Roman"/>
          <w:color w:val="000000"/>
        </w:rPr>
        <w:t>–</w:t>
      </w:r>
      <w:r w:rsidRPr="00934F59">
        <w:rPr>
          <w:rFonts w:ascii="等线" w:eastAsia="等线" w:hAnsi="Times New Roman"/>
          <w:color w:val="000000"/>
        </w:rPr>
        <w:t xml:space="preserve"> PETROBRAS (2002 </w:t>
      </w:r>
      <w:r w:rsidRPr="00934F59">
        <w:rPr>
          <w:rFonts w:ascii="等线" w:eastAsia="等线" w:hAnsi="Times New Roman"/>
          <w:color w:val="000000"/>
        </w:rPr>
        <w:t>–</w:t>
      </w:r>
      <w:r w:rsidRPr="00934F59">
        <w:rPr>
          <w:rFonts w:ascii="等线" w:eastAsia="等线" w:hAnsi="Times New Roman"/>
          <w:color w:val="000000"/>
        </w:rPr>
        <w:t xml:space="preserve"> 2003)</w:t>
      </w:r>
    </w:p>
    <w:p w14:paraId="30CB61F8" w14:textId="77777777" w:rsidR="00934F59" w:rsidRDefault="00934F59" w:rsidP="00934F59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34F59">
        <w:rPr>
          <w:rFonts w:ascii="等线" w:eastAsia="等线" w:hAnsi="Times New Roman"/>
          <w:color w:val="000000"/>
        </w:rPr>
        <w:t xml:space="preserve">Nortel Networks Inc. (2002 </w:t>
      </w:r>
      <w:r w:rsidRPr="00934F59">
        <w:rPr>
          <w:rFonts w:ascii="等线" w:eastAsia="等线" w:hAnsi="Times New Roman"/>
          <w:color w:val="000000"/>
        </w:rPr>
        <w:t>–</w:t>
      </w:r>
      <w:r w:rsidRPr="00934F59">
        <w:rPr>
          <w:rFonts w:ascii="等线" w:eastAsia="等线" w:hAnsi="Times New Roman"/>
          <w:color w:val="000000"/>
        </w:rPr>
        <w:t xml:space="preserve"> 2003)</w:t>
      </w:r>
    </w:p>
    <w:p w14:paraId="4D5D8EF8" w14:textId="77777777" w:rsidR="00934F59" w:rsidRDefault="00934F59" w:rsidP="00934F59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34F59">
        <w:rPr>
          <w:rFonts w:ascii="等线" w:eastAsia="等线" w:hAnsi="Times New Roman"/>
          <w:color w:val="000000"/>
        </w:rPr>
        <w:t xml:space="preserve">Deutsche Telekom AG (1998 </w:t>
      </w:r>
      <w:r w:rsidRPr="00934F59">
        <w:rPr>
          <w:rFonts w:ascii="等线" w:eastAsia="等线" w:hAnsi="Times New Roman"/>
          <w:color w:val="000000"/>
        </w:rPr>
        <w:t>–</w:t>
      </w:r>
      <w:r w:rsidRPr="00934F59">
        <w:rPr>
          <w:rFonts w:ascii="等线" w:eastAsia="等线" w:hAnsi="Times New Roman"/>
          <w:color w:val="000000"/>
        </w:rPr>
        <w:t xml:space="preserve"> 2002, 2004 </w:t>
      </w:r>
      <w:r w:rsidRPr="00934F59">
        <w:rPr>
          <w:rFonts w:ascii="等线" w:eastAsia="等线" w:hAnsi="Times New Roman"/>
          <w:color w:val="000000"/>
        </w:rPr>
        <w:t>–</w:t>
      </w:r>
      <w:r w:rsidRPr="00934F59">
        <w:rPr>
          <w:rFonts w:ascii="等线" w:eastAsia="等线" w:hAnsi="Times New Roman"/>
          <w:color w:val="000000"/>
        </w:rPr>
        <w:t xml:space="preserve"> 2005)</w:t>
      </w:r>
    </w:p>
    <w:p w14:paraId="1673BF7A" w14:textId="77777777" w:rsidR="00934F59" w:rsidRDefault="00934F59" w:rsidP="00934F59">
      <w:pPr>
        <w:pStyle w:val="af5"/>
        <w:spacing w:before="120"/>
        <w:rPr>
          <w:rFonts w:ascii="等线" w:eastAsia="等线" w:hAnsi="Times New Roman"/>
          <w:color w:val="000000"/>
        </w:rPr>
      </w:pPr>
      <w:r w:rsidRPr="00934F59">
        <w:rPr>
          <w:rFonts w:ascii="等线" w:eastAsia="等线" w:hAnsi="Times New Roman"/>
          <w:color w:val="000000"/>
        </w:rPr>
        <w:t>Played a prominent role in execution of over US$50 billion in completed cross-border financial transactions</w:t>
      </w:r>
    </w:p>
    <w:p w14:paraId="207998B0" w14:textId="77777777" w:rsidR="00934F59" w:rsidRDefault="00934F59" w:rsidP="00934F59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34F59">
        <w:rPr>
          <w:rFonts w:ascii="等线" w:eastAsia="等线" w:hAnsi="Times New Roman"/>
          <w:color w:val="000000"/>
        </w:rPr>
        <w:t xml:space="preserve">A total of over US$3 billion in debt tender offers by the Republic of the Philippines, with various investment banks including Citigroup, Deutsche Bank, Goldman Sachs, HSBC, JP Morgan, Standard Chartered and UBS as dealer-managers (2012 </w:t>
      </w:r>
      <w:r w:rsidRPr="00934F59">
        <w:rPr>
          <w:rFonts w:ascii="等线" w:eastAsia="等线" w:hAnsi="Times New Roman"/>
          <w:color w:val="000000"/>
        </w:rPr>
        <w:t>–</w:t>
      </w:r>
      <w:r w:rsidRPr="00934F59">
        <w:rPr>
          <w:rFonts w:ascii="等线" w:eastAsia="等线" w:hAnsi="Times New Roman"/>
          <w:color w:val="000000"/>
        </w:rPr>
        <w:t xml:space="preserve"> 2014)</w:t>
      </w:r>
    </w:p>
    <w:p w14:paraId="4D0A25DB" w14:textId="77777777" w:rsidR="00934F59" w:rsidRDefault="00934F59" w:rsidP="00934F59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34F59">
        <w:rPr>
          <w:rFonts w:ascii="等线" w:eastAsia="等线" w:hAnsi="Times New Roman"/>
          <w:color w:val="000000"/>
        </w:rPr>
        <w:t>The US$2.5 billion SEC-registered debt offering of HSBC Holdings plc, underwritten by HSBC Securities Inc. (2011)</w:t>
      </w:r>
    </w:p>
    <w:p w14:paraId="49089D87" w14:textId="77777777" w:rsidR="00934F59" w:rsidRDefault="00934F59" w:rsidP="00934F59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34F59">
        <w:rPr>
          <w:rFonts w:ascii="等线" w:eastAsia="等线" w:hAnsi="Times New Roman"/>
          <w:color w:val="000000"/>
        </w:rPr>
        <w:t>A total of over US$6 billion in Rule 144A debt offerings by HSBC Bank plc, underwritten by HSBC Securities Inc. (2011)</w:t>
      </w:r>
    </w:p>
    <w:p w14:paraId="62C1C27A" w14:textId="77777777" w:rsidR="00934F59" w:rsidRDefault="00934F59" w:rsidP="00934F59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34F59">
        <w:rPr>
          <w:rFonts w:ascii="等线" w:eastAsia="等线" w:hAnsi="Times New Roman"/>
          <w:color w:val="000000"/>
        </w:rPr>
        <w:t>The US$2.2 billion Hong Kong Stock Exchange listing and Reg. S / Rule 144A equity IPO of UC RUSAL, sponsored by BNP Paribas and Credit Suisse (2010)</w:t>
      </w:r>
    </w:p>
    <w:p w14:paraId="2DF12EE3" w14:textId="77777777" w:rsidR="00934F59" w:rsidRDefault="00934F59" w:rsidP="00934F59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34F59">
        <w:rPr>
          <w:rFonts w:ascii="等线" w:eastAsia="等线" w:hAnsi="Times New Roman"/>
          <w:color w:val="000000"/>
        </w:rPr>
        <w:t xml:space="preserve">A total of over US$5 billion in debt tender offers by The Governor and Company of the Bank of Ireland, with Credit Suisse, Deutsche Bank and UBS as dealer-managers (2009 </w:t>
      </w:r>
      <w:r w:rsidRPr="00934F59">
        <w:rPr>
          <w:rFonts w:ascii="等线" w:eastAsia="等线" w:hAnsi="Times New Roman"/>
          <w:color w:val="000000"/>
        </w:rPr>
        <w:t>–</w:t>
      </w:r>
      <w:r w:rsidRPr="00934F59">
        <w:rPr>
          <w:rFonts w:ascii="等线" w:eastAsia="等线" w:hAnsi="Times New Roman"/>
          <w:color w:val="000000"/>
        </w:rPr>
        <w:t xml:space="preserve"> 2011)</w:t>
      </w:r>
    </w:p>
    <w:p w14:paraId="70A43A28" w14:textId="77777777" w:rsidR="00934F59" w:rsidRDefault="00934F59" w:rsidP="00934F59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34F59">
        <w:rPr>
          <w:rFonts w:ascii="等线" w:eastAsia="等线" w:hAnsi="Times New Roman"/>
          <w:color w:val="000000"/>
        </w:rPr>
        <w:t>The EUR.3 billion Vienna Stock Exchange listing and Reg. S / Rule 144A equity IPO of STRABAG SE, underwritten by Deutsche Bank and Goldman Sachs (2007)</w:t>
      </w:r>
    </w:p>
    <w:p w14:paraId="7BA81F94" w14:textId="77777777" w:rsidR="00934F59" w:rsidRDefault="00934F59" w:rsidP="00934F59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34F59">
        <w:rPr>
          <w:rFonts w:ascii="等线" w:eastAsia="等线" w:hAnsi="Times New Roman"/>
          <w:color w:val="000000"/>
        </w:rPr>
        <w:t>The US$5 billion Rule 144A debt offering of Siemens AG, underwritten by Deutsche Bank and JP Morgan (2006)</w:t>
      </w:r>
    </w:p>
    <w:p w14:paraId="5C5A29D0" w14:textId="77777777" w:rsidR="00934F59" w:rsidRDefault="00934F59" w:rsidP="00934F59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34F59">
        <w:rPr>
          <w:rFonts w:ascii="等线" w:eastAsia="等线" w:hAnsi="Times New Roman"/>
          <w:color w:val="000000"/>
        </w:rPr>
        <w:t>The US$1.2 billion Oslo Stock Exchange listing and Reg. S / Rule 144A equity IPO of Renewable Energy Corporation, underwritten by UBS and Credit Suisse (2006)</w:t>
      </w:r>
    </w:p>
    <w:p w14:paraId="20576659" w14:textId="77777777" w:rsidR="00934F59" w:rsidRDefault="00934F59" w:rsidP="00934F59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34F59">
        <w:rPr>
          <w:rFonts w:ascii="等线" w:eastAsia="等线" w:hAnsi="Times New Roman"/>
          <w:color w:val="000000"/>
        </w:rPr>
        <w:t xml:space="preserve">A total of over US$8 billion in SEC-registered debt offerings by Vodafone plc, underwritten by various investment banks including Barclays Capital, Citigroup, JP Morgan and Morgan Stanley (2005 </w:t>
      </w:r>
      <w:r w:rsidRPr="00934F59">
        <w:rPr>
          <w:rFonts w:ascii="等线" w:eastAsia="等线" w:hAnsi="Times New Roman"/>
          <w:color w:val="000000"/>
        </w:rPr>
        <w:t>–</w:t>
      </w:r>
      <w:r w:rsidRPr="00934F59">
        <w:rPr>
          <w:rFonts w:ascii="等线" w:eastAsia="等线" w:hAnsi="Times New Roman"/>
          <w:color w:val="000000"/>
        </w:rPr>
        <w:t xml:space="preserve"> 2011)</w:t>
      </w:r>
    </w:p>
    <w:p w14:paraId="60ABED7E" w14:textId="77777777" w:rsidR="00934F59" w:rsidRDefault="00934F59" w:rsidP="00934F59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34F59">
        <w:rPr>
          <w:rFonts w:ascii="等线" w:eastAsia="等线" w:hAnsi="Times New Roman"/>
          <w:color w:val="000000"/>
        </w:rPr>
        <w:t>The US$4 billion SEC-registered exchange offer by Deutsche Telekom for publicly held shares of T-Online (2005)</w:t>
      </w:r>
    </w:p>
    <w:p w14:paraId="70C87586" w14:textId="77777777" w:rsidR="00934F59" w:rsidRDefault="00934F59" w:rsidP="00934F59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34F59">
        <w:rPr>
          <w:rFonts w:ascii="等线" w:eastAsia="等线" w:hAnsi="Times New Roman"/>
          <w:color w:val="000000"/>
        </w:rPr>
        <w:t xml:space="preserve">The </w:t>
      </w:r>
      <w:r w:rsidRPr="00934F59">
        <w:rPr>
          <w:rFonts w:ascii="等线" w:eastAsia="等线" w:hAnsi="Times New Roman"/>
          <w:color w:val="000000"/>
        </w:rPr>
        <w:t>€</w:t>
      </w:r>
      <w:r w:rsidRPr="00934F59">
        <w:rPr>
          <w:rFonts w:ascii="等线" w:eastAsia="等线" w:hAnsi="Times New Roman"/>
          <w:color w:val="000000"/>
        </w:rPr>
        <w:t>11 billion SEC-registered secondary follow-on offering of Deutsche Telekom shares by the German Government, underwritten by Deutsche Bank and Goldman Sachs (2000)</w:t>
      </w:r>
    </w:p>
    <w:p w14:paraId="752BFAC2" w14:textId="77777777" w:rsidR="00934F59" w:rsidRDefault="00934F59" w:rsidP="00934F59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34F59">
        <w:rPr>
          <w:rFonts w:ascii="等线" w:eastAsia="等线" w:hAnsi="Times New Roman"/>
          <w:color w:val="000000"/>
        </w:rPr>
        <w:t xml:space="preserve">The </w:t>
      </w:r>
      <w:r w:rsidRPr="00934F59">
        <w:rPr>
          <w:rFonts w:ascii="等线" w:eastAsia="等线" w:hAnsi="Times New Roman"/>
          <w:color w:val="000000"/>
        </w:rPr>
        <w:t>€</w:t>
      </w:r>
      <w:r w:rsidRPr="00934F59">
        <w:rPr>
          <w:rFonts w:ascii="等线" w:eastAsia="等线" w:hAnsi="Times New Roman"/>
          <w:color w:val="000000"/>
        </w:rPr>
        <w:t>11 billion SEC-registered primary follow-on equity offering of Deutsche Telekom AG, underwritten by Deutsche Bank and Goldman Sachs (1999)</w:t>
      </w:r>
    </w:p>
    <w:p w14:paraId="6659D5CB" w14:textId="77777777" w:rsidR="00934F59" w:rsidRDefault="00934F59" w:rsidP="00934F59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934F59">
        <w:rPr>
          <w:rFonts w:ascii="等线" w:eastAsia="等线" w:hAnsi="等线"/>
          <w:b/>
          <w:sz w:val="24"/>
        </w:rPr>
        <w:t>Education</w:t>
      </w:r>
    </w:p>
    <w:p w14:paraId="7253B2D4" w14:textId="77777777" w:rsidR="00934F59" w:rsidRDefault="00934F59" w:rsidP="00934F59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34F59">
        <w:rPr>
          <w:rFonts w:ascii="等线" w:eastAsia="等线" w:hAnsi="Times New Roman"/>
          <w:color w:val="000000"/>
        </w:rPr>
        <w:t>Boston University School of Law, J.D. magna cum laude, 1996</w:t>
      </w:r>
    </w:p>
    <w:p w14:paraId="4E1D1E6D" w14:textId="77777777" w:rsidR="00934F59" w:rsidRDefault="00934F59" w:rsidP="00934F59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34F59">
        <w:rPr>
          <w:rFonts w:ascii="等线" w:eastAsia="等线" w:hAnsi="Times New Roman"/>
          <w:color w:val="000000"/>
        </w:rPr>
        <w:t>Harvard University, B.A. cum laude 1991</w:t>
      </w:r>
    </w:p>
    <w:p w14:paraId="32C79B27" w14:textId="77777777" w:rsidR="00934F59" w:rsidRDefault="00934F59" w:rsidP="00934F59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934F59">
        <w:rPr>
          <w:rFonts w:ascii="等线" w:eastAsia="等线" w:hAnsi="等线"/>
          <w:b/>
          <w:sz w:val="24"/>
        </w:rPr>
        <w:t>Professional Qualification</w:t>
      </w:r>
    </w:p>
    <w:p w14:paraId="2F199A85" w14:textId="77777777" w:rsidR="00934F59" w:rsidRDefault="00934F59" w:rsidP="00934F59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34F59">
        <w:rPr>
          <w:rFonts w:ascii="等线" w:eastAsia="等线" w:hAnsi="Times New Roman"/>
          <w:color w:val="000000"/>
        </w:rPr>
        <w:t>Admitted to practice in New York</w:t>
      </w:r>
    </w:p>
    <w:p w14:paraId="405C509E" w14:textId="77777777" w:rsidR="00934F59" w:rsidRDefault="00934F59" w:rsidP="00934F59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34F59">
        <w:rPr>
          <w:rFonts w:ascii="等线" w:eastAsia="等线" w:hAnsi="Times New Roman"/>
          <w:color w:val="000000"/>
        </w:rPr>
        <w:t>Registered Foreign Lawyer in Hong Kong SAR</w:t>
      </w:r>
    </w:p>
    <w:p w14:paraId="6547B676" w14:textId="77777777" w:rsidR="00934F59" w:rsidRDefault="00934F59" w:rsidP="00934F59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934F59">
        <w:rPr>
          <w:rFonts w:ascii="等线" w:eastAsia="等线" w:hAnsi="等线"/>
          <w:b/>
          <w:sz w:val="24"/>
        </w:rPr>
        <w:t>Professional Background</w:t>
      </w:r>
    </w:p>
    <w:p w14:paraId="5567FC3C" w14:textId="4211F1C6" w:rsidR="00686369" w:rsidRPr="00934F59" w:rsidRDefault="00934F59" w:rsidP="00934F59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34F59">
        <w:rPr>
          <w:rFonts w:ascii="等线" w:eastAsia="等线" w:hAnsi="Times New Roman"/>
          <w:color w:val="000000"/>
        </w:rPr>
        <w:t xml:space="preserve">Mr. Wallenberger joined Fangda Partners in 2020. Before joining the firm, he worked for 18 years in the New York, Frankfurt, London and Hong Kong offices of a major Wall Street law firm and for several years in the Hong Kong office of a US-based </w:t>
      </w:r>
      <w:r w:rsidRPr="00934F59">
        <w:rPr>
          <w:rFonts w:ascii="等线" w:eastAsia="等线" w:hAnsi="Times New Roman"/>
          <w:color w:val="000000"/>
        </w:rPr>
        <w:t>“</w:t>
      </w:r>
      <w:r w:rsidRPr="00934F59">
        <w:rPr>
          <w:rFonts w:ascii="等线" w:eastAsia="等线" w:hAnsi="Times New Roman"/>
          <w:color w:val="000000"/>
        </w:rPr>
        <w:t>global systemically important bank.</w:t>
      </w:r>
      <w:r w:rsidRPr="00934F59">
        <w:rPr>
          <w:rFonts w:ascii="等线" w:eastAsia="等线" w:hAnsi="Times New Roman"/>
          <w:color w:val="000000"/>
        </w:rPr>
        <w:t>”</w:t>
      </w:r>
    </w:p>
    <w:sectPr w:rsidR="00686369" w:rsidRPr="00934F59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0315A"/>
    <w:multiLevelType w:val="singleLevel"/>
    <w:tmpl w:val="AC4C557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991349B"/>
    <w:multiLevelType w:val="singleLevel"/>
    <w:tmpl w:val="690A0B0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18B87EB6"/>
    <w:multiLevelType w:val="singleLevel"/>
    <w:tmpl w:val="7C1A91F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A613BC3"/>
    <w:multiLevelType w:val="singleLevel"/>
    <w:tmpl w:val="EBF6FC1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20162C1F"/>
    <w:multiLevelType w:val="singleLevel"/>
    <w:tmpl w:val="4B40452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280045E9"/>
    <w:multiLevelType w:val="singleLevel"/>
    <w:tmpl w:val="EBDC1DF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2A9F475B"/>
    <w:multiLevelType w:val="singleLevel"/>
    <w:tmpl w:val="44F627B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2CA1503B"/>
    <w:multiLevelType w:val="singleLevel"/>
    <w:tmpl w:val="AC166C6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2D751DC0"/>
    <w:multiLevelType w:val="singleLevel"/>
    <w:tmpl w:val="3178425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2DDA389F"/>
    <w:multiLevelType w:val="singleLevel"/>
    <w:tmpl w:val="033A133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1" w15:restartNumberingAfterBreak="0">
    <w:nsid w:val="2EFA5A34"/>
    <w:multiLevelType w:val="singleLevel"/>
    <w:tmpl w:val="6E9A654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306837C1"/>
    <w:multiLevelType w:val="singleLevel"/>
    <w:tmpl w:val="5B427DC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329418BE"/>
    <w:multiLevelType w:val="singleLevel"/>
    <w:tmpl w:val="8AE86F8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37FA3792"/>
    <w:multiLevelType w:val="singleLevel"/>
    <w:tmpl w:val="0CF2F68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3B364FED"/>
    <w:multiLevelType w:val="singleLevel"/>
    <w:tmpl w:val="8AE86F8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7" w15:restartNumberingAfterBreak="0">
    <w:nsid w:val="46A3192D"/>
    <w:multiLevelType w:val="singleLevel"/>
    <w:tmpl w:val="B51467C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4F040008"/>
    <w:multiLevelType w:val="singleLevel"/>
    <w:tmpl w:val="693A515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541D26C6"/>
    <w:multiLevelType w:val="singleLevel"/>
    <w:tmpl w:val="DBCE0FB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5EF641BE"/>
    <w:multiLevelType w:val="singleLevel"/>
    <w:tmpl w:val="F8D6DCD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726732D2"/>
    <w:multiLevelType w:val="singleLevel"/>
    <w:tmpl w:val="65803E3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748E48A1"/>
    <w:multiLevelType w:val="singleLevel"/>
    <w:tmpl w:val="2B2CC23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796F5F78"/>
    <w:multiLevelType w:val="singleLevel"/>
    <w:tmpl w:val="C0BA2EA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7E851485"/>
    <w:multiLevelType w:val="singleLevel"/>
    <w:tmpl w:val="AA8A083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10"/>
  </w:num>
  <w:num w:numId="2">
    <w:abstractNumId w:val="16"/>
  </w:num>
  <w:num w:numId="3">
    <w:abstractNumId w:val="6"/>
  </w:num>
  <w:num w:numId="4">
    <w:abstractNumId w:val="17"/>
  </w:num>
  <w:num w:numId="5">
    <w:abstractNumId w:val="3"/>
  </w:num>
  <w:num w:numId="6">
    <w:abstractNumId w:val="21"/>
  </w:num>
  <w:num w:numId="7">
    <w:abstractNumId w:val="2"/>
  </w:num>
  <w:num w:numId="8">
    <w:abstractNumId w:val="4"/>
  </w:num>
  <w:num w:numId="9">
    <w:abstractNumId w:val="5"/>
  </w:num>
  <w:num w:numId="10">
    <w:abstractNumId w:val="0"/>
  </w:num>
  <w:num w:numId="11">
    <w:abstractNumId w:val="18"/>
  </w:num>
  <w:num w:numId="12">
    <w:abstractNumId w:val="19"/>
  </w:num>
  <w:num w:numId="13">
    <w:abstractNumId w:val="23"/>
  </w:num>
  <w:num w:numId="14">
    <w:abstractNumId w:val="11"/>
  </w:num>
  <w:num w:numId="15">
    <w:abstractNumId w:val="14"/>
  </w:num>
  <w:num w:numId="16">
    <w:abstractNumId w:val="12"/>
  </w:num>
  <w:num w:numId="17">
    <w:abstractNumId w:val="7"/>
  </w:num>
  <w:num w:numId="18">
    <w:abstractNumId w:val="24"/>
  </w:num>
  <w:num w:numId="19">
    <w:abstractNumId w:val="1"/>
  </w:num>
  <w:num w:numId="20">
    <w:abstractNumId w:val="9"/>
  </w:num>
  <w:num w:numId="21">
    <w:abstractNumId w:val="20"/>
  </w:num>
  <w:num w:numId="22">
    <w:abstractNumId w:val="22"/>
  </w:num>
  <w:num w:numId="23">
    <w:abstractNumId w:val="8"/>
  </w:num>
  <w:num w:numId="24">
    <w:abstractNumId w:val="13"/>
  </w:num>
  <w:num w:numId="25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4F59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934F59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934F59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34C184A1-4271-4A79-925E-0E12B9CBD8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456</Words>
  <Characters>2603</Characters>
  <Application>Microsoft Office Word</Application>
  <DocSecurity>0</DocSecurity>
  <Lines>21</Lines>
  <Paragraphs>6</Paragraphs>
  <ScaleCrop>false</ScaleCrop>
  <Company/>
  <LinksUpToDate>false</LinksUpToDate>
  <CharactersWithSpaces>3053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2026-05-17T00:17:00Z</dcterms:created>
  <dcterms:modified xsi:type="dcterms:W3CDTF">2026-05-17T00:17:00Z</dcterms:modified>
</cp:coreProperties>
</file>