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5268112" w:rsidR="0049405C" w:rsidRPr="00C24D79" w:rsidRDefault="00894B1E" w:rsidP="00894B1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94B1E">
              <w:rPr>
                <w:rFonts w:ascii="等线" w:eastAsia="等线" w:hAnsi="Times New Roman"/>
                <w:b/>
                <w:color w:val="000000"/>
                <w:sz w:val="48"/>
              </w:rPr>
              <w:t>FLORA QIAN</w:t>
            </w:r>
            <w:bookmarkEnd w:id="0"/>
          </w:p>
          <w:p w14:paraId="706EB16B" w14:textId="5132651B" w:rsidR="0049405C" w:rsidRPr="00C24D79" w:rsidRDefault="00894B1E" w:rsidP="00894B1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94B1E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894B1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94B1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155DA749" w:rsidR="0049405C" w:rsidRPr="00C24D79" w:rsidRDefault="00894B1E" w:rsidP="00894B1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94B1E">
              <w:rPr>
                <w:rFonts w:ascii="等线" w:eastAsia="等线" w:hAnsi="Times New Roman"/>
                <w:color w:val="000000"/>
              </w:rPr>
              <w:t xml:space="preserve">+852 3976 8866 </w:t>
            </w:r>
            <w:bookmarkEnd w:id="3"/>
          </w:p>
          <w:p w14:paraId="4F910ACA" w14:textId="44E75344" w:rsidR="0049405C" w:rsidRPr="00C24D79" w:rsidRDefault="00894B1E" w:rsidP="00894B1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94B1E">
              <w:rPr>
                <w:rFonts w:ascii="等线" w:eastAsia="等线" w:hAnsi="Times New Roman"/>
                <w:color w:val="000000"/>
              </w:rPr>
              <w:t>flora.qian@fangdalaw.com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093DA4A" w:rsidR="0049405C" w:rsidRPr="00C24D79" w:rsidRDefault="00894B1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2A19A8" wp14:editId="33EA41C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97236EF" w:rsidR="009465FB" w:rsidRPr="00C24D79" w:rsidRDefault="00894B1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94B1E">
              <w:rPr>
                <w:rFonts w:ascii="等线" w:eastAsia="等线" w:hAnsi="Times New Roman"/>
                <w:color w:val="000000"/>
                <w:szCs w:val="21"/>
              </w:rPr>
              <w:t>MS. QIAN SPECIALIZES IN PRIVATE EQUITY, FOCUSING ON BOTH FUND FORMATION AND DOWNSTREAM INVESTMENTS.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60F93B1" w14:textId="77777777" w:rsidR="00894B1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DD98345" w14:textId="77777777" w:rsidR="00894B1E" w:rsidRDefault="00894B1E" w:rsidP="00894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4B1E">
        <w:rPr>
          <w:rFonts w:ascii="等线" w:eastAsia="等线" w:hAnsi="等线"/>
          <w:b/>
          <w:sz w:val="24"/>
        </w:rPr>
        <w:t>REPRESENTATIVE MATTERS AND CASES</w:t>
      </w:r>
    </w:p>
    <w:p w14:paraId="7A42D2AC" w14:textId="77777777" w:rsidR="00894B1E" w:rsidRDefault="00894B1E" w:rsidP="00894B1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7B9D4DF" w14:textId="77777777" w:rsidR="00894B1E" w:rsidRDefault="00894B1E" w:rsidP="00894B1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Carlyle in forming its RMB Fund I in Beijing in cooperation with the Beijing Municipal Government and advised on the fund</w:t>
      </w:r>
      <w:r w:rsidRPr="00894B1E">
        <w:rPr>
          <w:rFonts w:ascii="等线" w:eastAsia="等线" w:hAnsi="Times New Roman"/>
          <w:color w:val="000000"/>
        </w:rPr>
        <w:t>’</w:t>
      </w:r>
      <w:r w:rsidRPr="00894B1E">
        <w:rPr>
          <w:rFonts w:ascii="等线" w:eastAsia="等线" w:hAnsi="Times New Roman"/>
          <w:color w:val="000000"/>
        </w:rPr>
        <w:t>s ongoing operation</w:t>
      </w:r>
    </w:p>
    <w:p w14:paraId="27913ED2" w14:textId="77777777" w:rsidR="00894B1E" w:rsidRDefault="00894B1E" w:rsidP="00894B1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Carlyle in forming its RMB Fund II and QFLP Fund as well as several single project funds for its downstream investments</w:t>
      </w:r>
    </w:p>
    <w:p w14:paraId="2ADA88A9" w14:textId="77777777" w:rsidR="00894B1E" w:rsidRDefault="00894B1E" w:rsidP="00894B1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Goldman Sachs in forming its first RMB fund in Beijing in cooperation with the Beijing Municipal Government and in forming its QFLP Fund</w:t>
      </w:r>
    </w:p>
    <w:p w14:paraId="197012D2" w14:textId="77777777" w:rsidR="00894B1E" w:rsidRDefault="00894B1E" w:rsidP="00894B1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CITIC Capital in forming its first RMB fund in Tianjin and its successor RMB Fund II</w:t>
      </w:r>
    </w:p>
    <w:p w14:paraId="488AD46D" w14:textId="77777777" w:rsidR="00894B1E" w:rsidRDefault="00894B1E" w:rsidP="00894B1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Primavera Capital in forming its RMB Fund I, RMB Fund II, RMB Fund III, QFLP Fund, QDLP Fund, as well as several single project funds for its downstream investments</w:t>
      </w:r>
    </w:p>
    <w:p w14:paraId="155A3F34" w14:textId="77777777" w:rsidR="00894B1E" w:rsidRDefault="00894B1E" w:rsidP="00894B1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DCP in forming its first RMB fund in Jiaxing and Zhuhai, its QFLP Fund, and its single project funds for its downstream investments</w:t>
      </w:r>
    </w:p>
    <w:p w14:paraId="5C1108B3" w14:textId="77777777" w:rsidR="00894B1E" w:rsidRDefault="00894B1E" w:rsidP="00894B1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Hony Capital in forming its RMB Fund I, RMB Fund II, Mezzanine Fund I, Mezzanine Fund II, Real Estate Fund, SOE Fund, Logistics Fund and several co-sponsored funds</w:t>
      </w:r>
    </w:p>
    <w:p w14:paraId="7E7F13EF" w14:textId="77777777" w:rsidR="00894B1E" w:rsidRDefault="00894B1E" w:rsidP="00894B1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Alibaba in forming a retail industry fund in Hangzhou</w:t>
      </w:r>
    </w:p>
    <w:p w14:paraId="195E6433" w14:textId="77777777" w:rsidR="00894B1E" w:rsidRDefault="00894B1E" w:rsidP="00894B1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Warburg Pincus in forming a real estate fund in Shanghai co-sponsored with Yanniao and Mofang and in submitting its QFLP application</w:t>
      </w:r>
    </w:p>
    <w:p w14:paraId="541A2297" w14:textId="77777777" w:rsidR="00894B1E" w:rsidRDefault="00894B1E" w:rsidP="00894B1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China Renaissance in forming its Healthcare Fund III and its sub-fund in Tianjin</w:t>
      </w:r>
    </w:p>
    <w:p w14:paraId="49D9B52E" w14:textId="77777777" w:rsidR="00894B1E" w:rsidRDefault="00894B1E" w:rsidP="00894B1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IDG in forming its first RMB fund in Beijing</w:t>
      </w:r>
    </w:p>
    <w:p w14:paraId="4E28B265" w14:textId="77777777" w:rsidR="00894B1E" w:rsidRDefault="00894B1E" w:rsidP="00894B1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DT Capital in forming a series of RMB funds co-sponsored with various local governments and listed companies</w:t>
      </w:r>
    </w:p>
    <w:p w14:paraId="201A6496" w14:textId="77777777" w:rsidR="00894B1E" w:rsidRDefault="00894B1E" w:rsidP="00894B1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New Alliance in forming an RMB fund and a healthcare fund</w:t>
      </w:r>
    </w:p>
    <w:p w14:paraId="608AB973" w14:textId="77777777" w:rsidR="00894B1E" w:rsidRDefault="00894B1E" w:rsidP="00894B1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Ocean Link in forming its first RMB Fund</w:t>
      </w:r>
    </w:p>
    <w:p w14:paraId="669B4FA3" w14:textId="77777777" w:rsidR="00894B1E" w:rsidRDefault="00894B1E" w:rsidP="00894B1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BOCI in forming a non-performing loan fund</w:t>
      </w:r>
    </w:p>
    <w:p w14:paraId="01E3C33A" w14:textId="77777777" w:rsidR="00894B1E" w:rsidRDefault="00894B1E" w:rsidP="00894B1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SAIF in forming a venture capital fund</w:t>
      </w:r>
    </w:p>
    <w:p w14:paraId="40A72048" w14:textId="77777777" w:rsidR="00894B1E" w:rsidRDefault="00894B1E" w:rsidP="00894B1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Alibaba in its investments as limited partner into several RMB funds</w:t>
      </w:r>
    </w:p>
    <w:p w14:paraId="355008D7" w14:textId="77777777" w:rsidR="00894B1E" w:rsidRDefault="00894B1E" w:rsidP="00894B1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Huaxin in its investments as limited partner into several RMB funds</w:t>
      </w:r>
    </w:p>
    <w:p w14:paraId="604E0348" w14:textId="77777777" w:rsidR="00894B1E" w:rsidRDefault="00894B1E" w:rsidP="00894B1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Cenova in forming a healthcare fund in Shanghai and applying for QFLP quota to admit Temasek, Illumina, Abbott and Khananah</w:t>
      </w:r>
    </w:p>
    <w:p w14:paraId="448780CB" w14:textId="77777777" w:rsidR="00894B1E" w:rsidRDefault="00894B1E" w:rsidP="00894B1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J.P. Morgan and BSCOMC as co-sponsors in forming their foreign invested partnership in Beijing</w:t>
      </w:r>
    </w:p>
    <w:p w14:paraId="7C8330CD" w14:textId="77777777" w:rsidR="00894B1E" w:rsidRDefault="00894B1E" w:rsidP="00894B1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Represented PICC in forming a single project fund with other sponsors to invest RMB 10 billion into SinoPec</w:t>
      </w:r>
    </w:p>
    <w:p w14:paraId="2469E569" w14:textId="77777777" w:rsidR="00894B1E" w:rsidRDefault="00894B1E" w:rsidP="00894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4B1E">
        <w:rPr>
          <w:rFonts w:ascii="等线" w:eastAsia="等线" w:hAnsi="等线"/>
          <w:b/>
          <w:sz w:val="24"/>
        </w:rPr>
        <w:t>Education</w:t>
      </w:r>
    </w:p>
    <w:p w14:paraId="67B68F13" w14:textId="77777777" w:rsidR="00894B1E" w:rsidRDefault="00894B1E" w:rsidP="00894B1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UC Berkeley, School of Law, LL.M</w:t>
      </w:r>
    </w:p>
    <w:p w14:paraId="7A1E9DC4" w14:textId="77777777" w:rsidR="00894B1E" w:rsidRDefault="00894B1E" w:rsidP="00894B1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Shanghai International Studies University, School of Law, LL.B</w:t>
      </w:r>
    </w:p>
    <w:p w14:paraId="7124C5AE" w14:textId="77777777" w:rsidR="00894B1E" w:rsidRDefault="00894B1E" w:rsidP="00894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4B1E">
        <w:rPr>
          <w:rFonts w:ascii="等线" w:eastAsia="等线" w:hAnsi="等线"/>
          <w:b/>
          <w:sz w:val="24"/>
        </w:rPr>
        <w:t>Professional Qualification</w:t>
      </w:r>
    </w:p>
    <w:p w14:paraId="748341F9" w14:textId="77777777" w:rsidR="00894B1E" w:rsidRDefault="00894B1E" w:rsidP="00894B1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Admitted to practice in New York</w:t>
      </w:r>
    </w:p>
    <w:p w14:paraId="0ABC1E47" w14:textId="77777777" w:rsidR="00894B1E" w:rsidRDefault="00894B1E" w:rsidP="00894B1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Registered Foreign Lawyer in Hong Kong SAR</w:t>
      </w:r>
    </w:p>
    <w:p w14:paraId="44CA7F15" w14:textId="77777777" w:rsidR="00894B1E" w:rsidRDefault="00894B1E" w:rsidP="00894B1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94B1E">
        <w:rPr>
          <w:rFonts w:ascii="等线" w:eastAsia="等线" w:hAnsi="等线"/>
          <w:b/>
          <w:sz w:val="24"/>
        </w:rPr>
        <w:t>Professional Background</w:t>
      </w:r>
    </w:p>
    <w:p w14:paraId="5567FC3C" w14:textId="277A1F8C" w:rsidR="00686369" w:rsidRPr="00894B1E" w:rsidRDefault="00894B1E" w:rsidP="00894B1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94B1E">
        <w:rPr>
          <w:rFonts w:ascii="等线" w:eastAsia="等线" w:hAnsi="Times New Roman"/>
          <w:color w:val="000000"/>
        </w:rPr>
        <w:t>Ms. Qian joined Fangda Partners in 2007. Before joining the firm, she worked at the Shanghai office of a US law firm.</w:t>
      </w:r>
    </w:p>
    <w:sectPr w:rsidR="00686369" w:rsidRPr="00894B1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5B90"/>
    <w:multiLevelType w:val="singleLevel"/>
    <w:tmpl w:val="26308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C54767"/>
    <w:multiLevelType w:val="singleLevel"/>
    <w:tmpl w:val="263085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3A359C"/>
    <w:multiLevelType w:val="singleLevel"/>
    <w:tmpl w:val="5FA6F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5806C1"/>
    <w:multiLevelType w:val="singleLevel"/>
    <w:tmpl w:val="A3AED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C743F8"/>
    <w:multiLevelType w:val="singleLevel"/>
    <w:tmpl w:val="63EE1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E6789E"/>
    <w:multiLevelType w:val="singleLevel"/>
    <w:tmpl w:val="186EA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2D27FD"/>
    <w:multiLevelType w:val="singleLevel"/>
    <w:tmpl w:val="D03C27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550658"/>
    <w:multiLevelType w:val="singleLevel"/>
    <w:tmpl w:val="61661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7949A5"/>
    <w:multiLevelType w:val="singleLevel"/>
    <w:tmpl w:val="F2D683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873DF9"/>
    <w:multiLevelType w:val="singleLevel"/>
    <w:tmpl w:val="E8D00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571173"/>
    <w:multiLevelType w:val="singleLevel"/>
    <w:tmpl w:val="6ECA9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975D48"/>
    <w:multiLevelType w:val="singleLevel"/>
    <w:tmpl w:val="2D6E5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9438FD"/>
    <w:multiLevelType w:val="singleLevel"/>
    <w:tmpl w:val="D846A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E82EAE"/>
    <w:multiLevelType w:val="singleLevel"/>
    <w:tmpl w:val="470E6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A50CD8"/>
    <w:multiLevelType w:val="singleLevel"/>
    <w:tmpl w:val="59BAB9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0C17C53"/>
    <w:multiLevelType w:val="singleLevel"/>
    <w:tmpl w:val="7D3AB8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C123E6"/>
    <w:multiLevelType w:val="singleLevel"/>
    <w:tmpl w:val="47921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2D3447"/>
    <w:multiLevelType w:val="singleLevel"/>
    <w:tmpl w:val="A4B06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7401B1"/>
    <w:multiLevelType w:val="singleLevel"/>
    <w:tmpl w:val="FE2449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F81ACF"/>
    <w:multiLevelType w:val="singleLevel"/>
    <w:tmpl w:val="7B841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D65882"/>
    <w:multiLevelType w:val="singleLevel"/>
    <w:tmpl w:val="C7A23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653582"/>
    <w:multiLevelType w:val="singleLevel"/>
    <w:tmpl w:val="5E3CA8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EFC42AB"/>
    <w:multiLevelType w:val="singleLevel"/>
    <w:tmpl w:val="2C5AD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24B754D"/>
    <w:multiLevelType w:val="singleLevel"/>
    <w:tmpl w:val="6090C7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2B56D1D"/>
    <w:multiLevelType w:val="singleLevel"/>
    <w:tmpl w:val="A2EE3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DC05F4"/>
    <w:multiLevelType w:val="singleLevel"/>
    <w:tmpl w:val="D6A87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CA47814"/>
    <w:multiLevelType w:val="singleLevel"/>
    <w:tmpl w:val="22BAA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9"/>
  </w:num>
  <w:num w:numId="5">
    <w:abstractNumId w:val="12"/>
  </w:num>
  <w:num w:numId="6">
    <w:abstractNumId w:val="28"/>
  </w:num>
  <w:num w:numId="7">
    <w:abstractNumId w:val="7"/>
  </w:num>
  <w:num w:numId="8">
    <w:abstractNumId w:val="6"/>
  </w:num>
  <w:num w:numId="9">
    <w:abstractNumId w:val="22"/>
  </w:num>
  <w:num w:numId="10">
    <w:abstractNumId w:val="2"/>
  </w:num>
  <w:num w:numId="11">
    <w:abstractNumId w:val="5"/>
  </w:num>
  <w:num w:numId="12">
    <w:abstractNumId w:val="4"/>
  </w:num>
  <w:num w:numId="13">
    <w:abstractNumId w:val="13"/>
  </w:num>
  <w:num w:numId="14">
    <w:abstractNumId w:val="18"/>
  </w:num>
  <w:num w:numId="15">
    <w:abstractNumId w:val="3"/>
  </w:num>
  <w:num w:numId="16">
    <w:abstractNumId w:val="20"/>
  </w:num>
  <w:num w:numId="17">
    <w:abstractNumId w:val="15"/>
  </w:num>
  <w:num w:numId="18">
    <w:abstractNumId w:val="23"/>
  </w:num>
  <w:num w:numId="19">
    <w:abstractNumId w:val="17"/>
  </w:num>
  <w:num w:numId="20">
    <w:abstractNumId w:val="8"/>
  </w:num>
  <w:num w:numId="21">
    <w:abstractNumId w:val="24"/>
  </w:num>
  <w:num w:numId="22">
    <w:abstractNumId w:val="27"/>
  </w:num>
  <w:num w:numId="23">
    <w:abstractNumId w:val="21"/>
  </w:num>
  <w:num w:numId="24">
    <w:abstractNumId w:val="19"/>
  </w:num>
  <w:num w:numId="25">
    <w:abstractNumId w:val="25"/>
  </w:num>
  <w:num w:numId="26">
    <w:abstractNumId w:val="11"/>
  </w:num>
  <w:num w:numId="27">
    <w:abstractNumId w:val="26"/>
  </w:num>
  <w:num w:numId="28">
    <w:abstractNumId w:val="0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94B1E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94B1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94B1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2E002CB-CDFE-4BE6-B4D5-8B1E0D94B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2026-07-16T15:00:00Z</dcterms:created>
  <dcterms:modified xsi:type="dcterms:W3CDTF">2026-07-16T15:00:00Z</dcterms:modified>
</cp:coreProperties>
</file>