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DAE9830" w:rsidR="0049405C" w:rsidRPr="00C24D79" w:rsidRDefault="00062009" w:rsidP="00062009">
            <w:pPr>
              <w:spacing w:line="720" w:lineRule="auto"/>
              <w:rPr>
                <w:rFonts w:eastAsiaTheme="minorHAnsi"/>
                <w:color w:val="545551"/>
              </w:rPr>
            </w:pPr>
            <w:bookmarkStart w:id="0" w:name="xingming"/>
            <w:bookmarkStart w:id="1" w:name="_GoBack"/>
            <w:bookmarkEnd w:id="1"/>
            <w:r w:rsidRPr="00062009">
              <w:rPr>
                <w:rFonts w:ascii="等线" w:eastAsia="等线" w:hAnsi="Times New Roman"/>
                <w:b/>
                <w:color w:val="000000"/>
                <w:sz w:val="48"/>
              </w:rPr>
              <w:t>DIANA LI</w:t>
            </w:r>
            <w:bookmarkEnd w:id="0"/>
          </w:p>
          <w:p w14:paraId="706EB16B" w14:textId="4E112382" w:rsidR="0049405C" w:rsidRPr="00C24D79" w:rsidRDefault="00062009" w:rsidP="00062009">
            <w:pPr>
              <w:spacing w:line="360" w:lineRule="auto"/>
              <w:rPr>
                <w:rFonts w:eastAsiaTheme="minorHAnsi"/>
                <w:b/>
                <w:bCs/>
                <w:color w:val="545551"/>
              </w:rPr>
            </w:pPr>
            <w:bookmarkStart w:id="2" w:name="didian"/>
            <w:r w:rsidRPr="00062009">
              <w:rPr>
                <w:rFonts w:ascii="等线" w:eastAsia="等线" w:hAnsi="Times New Roman"/>
                <w:b/>
                <w:bCs/>
                <w:color w:val="000000"/>
              </w:rPr>
              <w:t>Partner</w:t>
            </w:r>
            <w:r w:rsidRPr="00062009">
              <w:rPr>
                <w:rFonts w:ascii="等线" w:eastAsia="等线" w:hAnsi="Times New Roman"/>
                <w:b/>
                <w:bCs/>
                <w:color w:val="000000"/>
              </w:rPr>
              <w:t>·</w:t>
            </w:r>
            <w:r w:rsidRPr="00062009">
              <w:rPr>
                <w:rFonts w:ascii="等线" w:eastAsia="等线" w:hAnsi="Times New Roman"/>
                <w:b/>
                <w:bCs/>
                <w:color w:val="000000"/>
              </w:rPr>
              <w:t>Shanghai</w:t>
            </w:r>
            <w:bookmarkEnd w:id="2"/>
          </w:p>
          <w:p w14:paraId="6199424A" w14:textId="028C034E" w:rsidR="0049405C" w:rsidRPr="00C24D79" w:rsidRDefault="00062009" w:rsidP="00062009">
            <w:pPr>
              <w:spacing w:line="360" w:lineRule="auto"/>
              <w:rPr>
                <w:rFonts w:eastAsiaTheme="minorHAnsi"/>
                <w:color w:val="545551"/>
              </w:rPr>
            </w:pPr>
            <w:bookmarkStart w:id="3" w:name="dianhua"/>
            <w:r w:rsidRPr="00062009">
              <w:rPr>
                <w:rFonts w:ascii="等线" w:eastAsia="等线" w:hAnsi="Times New Roman"/>
                <w:color w:val="000000"/>
              </w:rPr>
              <w:t xml:space="preserve">+86 21 2208 1155 </w:t>
            </w:r>
            <w:bookmarkEnd w:id="3"/>
          </w:p>
          <w:p w14:paraId="4F910ACA" w14:textId="506768FA" w:rsidR="0049405C" w:rsidRPr="00C24D79" w:rsidRDefault="00062009" w:rsidP="00062009">
            <w:pPr>
              <w:spacing w:line="360" w:lineRule="auto"/>
              <w:rPr>
                <w:rFonts w:eastAsiaTheme="minorHAnsi"/>
                <w:color w:val="000000"/>
              </w:rPr>
            </w:pPr>
            <w:bookmarkStart w:id="4" w:name="youxiang"/>
            <w:r w:rsidRPr="00062009">
              <w:rPr>
                <w:rFonts w:ascii="等线" w:eastAsia="等线" w:hAnsi="Times New Roman"/>
                <w:color w:val="000000"/>
              </w:rPr>
              <w:t>diana.li@fangdalaw.com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C1509B4" w:rsidR="0049405C" w:rsidRPr="00C24D79" w:rsidRDefault="0006200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E220520" wp14:editId="71D2EE9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A332E05" w:rsidR="009465FB" w:rsidRPr="00C24D79" w:rsidRDefault="00062009" w:rsidP="007177F3">
            <w:pPr>
              <w:rPr>
                <w:rFonts w:eastAsiaTheme="minorHAnsi"/>
                <w:color w:val="000000"/>
                <w:szCs w:val="21"/>
              </w:rPr>
            </w:pPr>
            <w:bookmarkStart w:id="6" w:name="zhiyelingyu"/>
            <w:r w:rsidRPr="00062009">
              <w:rPr>
                <w:rFonts w:ascii="等线" w:eastAsia="等线" w:hAnsi="Times New Roman"/>
                <w:color w:val="000000"/>
                <w:szCs w:val="21"/>
              </w:rPr>
              <w:t>Ms. Li specializes in M&amp;A, private equity, foreign direct investment and general corporate matters. Ms. Li is dedicated to providing services to pharmaceutical, bioscience and other healthcare industry clients.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E7E329" w14:textId="77777777" w:rsidR="0006200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E4F952E" w14:textId="77777777" w:rsidR="00062009" w:rsidRDefault="00062009" w:rsidP="00062009">
      <w:pPr>
        <w:pStyle w:val="af5"/>
        <w:spacing w:after="0" w:line="480" w:lineRule="auto"/>
        <w:rPr>
          <w:rFonts w:ascii="等线" w:eastAsia="等线" w:hAnsi="等线"/>
          <w:b/>
          <w:sz w:val="24"/>
        </w:rPr>
      </w:pPr>
      <w:r w:rsidRPr="00062009">
        <w:rPr>
          <w:rFonts w:ascii="等线" w:eastAsia="等线" w:hAnsi="等线"/>
          <w:b/>
          <w:sz w:val="24"/>
        </w:rPr>
        <w:t>REPRESENTATIVE MATTERS AND CASES</w:t>
      </w:r>
    </w:p>
    <w:p w14:paraId="7B019909" w14:textId="77777777" w:rsidR="00062009" w:rsidRDefault="00062009" w:rsidP="00062009">
      <w:pPr>
        <w:pStyle w:val="af5"/>
        <w:spacing w:before="120"/>
        <w:rPr>
          <w:rFonts w:ascii="等线" w:eastAsia="等线" w:hAnsi="Times New Roman"/>
          <w:color w:val="000000"/>
        </w:rPr>
      </w:pPr>
      <w:r w:rsidRPr="00062009">
        <w:rPr>
          <w:rFonts w:ascii="等线" w:eastAsia="等线" w:hAnsi="Times New Roman"/>
          <w:color w:val="000000"/>
        </w:rPr>
        <w:t>Pharmaceutical and Healthcare</w:t>
      </w:r>
    </w:p>
    <w:p w14:paraId="0D9508FD" w14:textId="77777777" w:rsidR="00062009" w:rsidRDefault="00062009" w:rsidP="00062009">
      <w:pPr>
        <w:pStyle w:val="af5"/>
        <w:numPr>
          <w:ilvl w:val="0"/>
          <w:numId w:val="4"/>
        </w:numPr>
        <w:spacing w:before="120"/>
        <w:ind w:left="690" w:hanging="240"/>
        <w:rPr>
          <w:rFonts w:ascii="等线" w:eastAsia="等线" w:hAnsi="Times New Roman"/>
          <w:color w:val="000000"/>
        </w:rPr>
      </w:pPr>
      <w:r w:rsidRPr="00062009">
        <w:rPr>
          <w:rFonts w:ascii="等线" w:eastAsia="等线" w:hAnsi="Times New Roman"/>
          <w:color w:val="000000"/>
        </w:rPr>
        <w:t>Represented AstraZeneca in its granting exclusive commercialization rights for certain diabetes drugs in the China market to 3SBio for an upfront fee of USD 100 million and for continuous future profits</w:t>
      </w:r>
    </w:p>
    <w:p w14:paraId="6C8EB13D" w14:textId="77777777" w:rsidR="00062009" w:rsidRDefault="00062009" w:rsidP="00062009">
      <w:pPr>
        <w:pStyle w:val="af5"/>
        <w:numPr>
          <w:ilvl w:val="0"/>
          <w:numId w:val="5"/>
        </w:numPr>
        <w:spacing w:before="120"/>
        <w:ind w:left="690" w:hanging="240"/>
        <w:rPr>
          <w:rFonts w:ascii="等线" w:eastAsia="等线" w:hAnsi="Times New Roman"/>
          <w:color w:val="000000"/>
        </w:rPr>
      </w:pPr>
      <w:r w:rsidRPr="00062009">
        <w:rPr>
          <w:rFonts w:ascii="等线" w:eastAsia="等线" w:hAnsi="Times New Roman"/>
          <w:color w:val="000000"/>
        </w:rPr>
        <w:t>Represented AstraZeneca in the arrangements with Aspen in China following the global grant of commercialization rights for anesthesia products to Aspen</w:t>
      </w:r>
    </w:p>
    <w:p w14:paraId="4DB761D5" w14:textId="77777777" w:rsidR="00062009" w:rsidRDefault="00062009" w:rsidP="00062009">
      <w:pPr>
        <w:pStyle w:val="af5"/>
        <w:numPr>
          <w:ilvl w:val="0"/>
          <w:numId w:val="6"/>
        </w:numPr>
        <w:spacing w:before="120"/>
        <w:ind w:left="690" w:hanging="240"/>
        <w:rPr>
          <w:rFonts w:ascii="等线" w:eastAsia="等线" w:hAnsi="Times New Roman"/>
          <w:color w:val="000000"/>
        </w:rPr>
      </w:pPr>
      <w:r w:rsidRPr="00062009">
        <w:rPr>
          <w:rFonts w:ascii="等线" w:eastAsia="等线" w:hAnsi="Times New Roman"/>
          <w:color w:val="000000"/>
        </w:rPr>
        <w:t>Represented Bayer AG in its acquisition of 100% equity interest in Dihon Pharmaceutical Group, a leading OTC and TCM maker in the China market. (CBLJ Deal of the Year 2015)</w:t>
      </w:r>
    </w:p>
    <w:p w14:paraId="2D0BC85E" w14:textId="77777777" w:rsidR="00062009" w:rsidRDefault="00062009" w:rsidP="00062009">
      <w:pPr>
        <w:pStyle w:val="af5"/>
        <w:numPr>
          <w:ilvl w:val="0"/>
          <w:numId w:val="7"/>
        </w:numPr>
        <w:spacing w:before="120"/>
        <w:ind w:left="690" w:hanging="240"/>
        <w:rPr>
          <w:rFonts w:ascii="等线" w:eastAsia="等线" w:hAnsi="Times New Roman"/>
          <w:color w:val="000000"/>
        </w:rPr>
      </w:pPr>
      <w:r w:rsidRPr="00062009">
        <w:rPr>
          <w:rFonts w:ascii="等线" w:eastAsia="等线" w:hAnsi="Times New Roman"/>
          <w:color w:val="000000"/>
        </w:rPr>
        <w:t>Represented Bayer AG in its internal restructuring of its PRC subsidiaries and in its post-acquisition integration matters after acquiring Merck's OTC business</w:t>
      </w:r>
    </w:p>
    <w:p w14:paraId="16B7AD8A" w14:textId="77777777" w:rsidR="00062009" w:rsidRDefault="00062009" w:rsidP="00062009">
      <w:pPr>
        <w:pStyle w:val="af5"/>
        <w:numPr>
          <w:ilvl w:val="0"/>
          <w:numId w:val="8"/>
        </w:numPr>
        <w:spacing w:before="120"/>
        <w:ind w:left="690" w:hanging="240"/>
        <w:rPr>
          <w:rFonts w:ascii="等线" w:eastAsia="等线" w:hAnsi="Times New Roman"/>
          <w:color w:val="000000"/>
        </w:rPr>
      </w:pPr>
      <w:r w:rsidRPr="00062009">
        <w:rPr>
          <w:rFonts w:ascii="等线" w:eastAsia="等线" w:hAnsi="Times New Roman"/>
          <w:color w:val="000000"/>
        </w:rPr>
        <w:t>Represented TPG in its acquisitions of contract research organizations in Asia</w:t>
      </w:r>
    </w:p>
    <w:p w14:paraId="4D36D33E" w14:textId="77777777" w:rsidR="00062009" w:rsidRDefault="00062009" w:rsidP="00062009">
      <w:pPr>
        <w:pStyle w:val="af5"/>
        <w:numPr>
          <w:ilvl w:val="0"/>
          <w:numId w:val="9"/>
        </w:numPr>
        <w:spacing w:before="120"/>
        <w:ind w:left="690" w:hanging="240"/>
        <w:rPr>
          <w:rFonts w:ascii="等线" w:eastAsia="等线" w:hAnsi="Times New Roman"/>
          <w:color w:val="000000"/>
        </w:rPr>
      </w:pPr>
      <w:r w:rsidRPr="00062009">
        <w:rPr>
          <w:rFonts w:ascii="等线" w:eastAsia="等线" w:hAnsi="Times New Roman"/>
          <w:color w:val="000000"/>
        </w:rPr>
        <w:t>Represented PAG in its proposed acquisition of 100% equity interest in a domestic pharmaceutical company</w:t>
      </w:r>
    </w:p>
    <w:p w14:paraId="4AB65A60" w14:textId="77777777" w:rsidR="00062009" w:rsidRDefault="00062009" w:rsidP="00062009">
      <w:pPr>
        <w:pStyle w:val="af5"/>
        <w:numPr>
          <w:ilvl w:val="0"/>
          <w:numId w:val="10"/>
        </w:numPr>
        <w:spacing w:before="120"/>
        <w:ind w:left="690" w:hanging="240"/>
        <w:rPr>
          <w:rFonts w:ascii="等线" w:eastAsia="等线" w:hAnsi="Times New Roman"/>
          <w:color w:val="000000"/>
        </w:rPr>
      </w:pPr>
      <w:r w:rsidRPr="00062009">
        <w:rPr>
          <w:rFonts w:ascii="等线" w:eastAsia="等线" w:hAnsi="Times New Roman"/>
          <w:color w:val="000000"/>
        </w:rPr>
        <w:t>Represented Olympus Capital in its proposed acquisition of a domestic hospital group</w:t>
      </w:r>
    </w:p>
    <w:p w14:paraId="5A50B743" w14:textId="77777777" w:rsidR="00062009" w:rsidRDefault="00062009" w:rsidP="00062009">
      <w:pPr>
        <w:pStyle w:val="af5"/>
        <w:numPr>
          <w:ilvl w:val="0"/>
          <w:numId w:val="11"/>
        </w:numPr>
        <w:spacing w:before="120"/>
        <w:ind w:left="690" w:hanging="240"/>
        <w:rPr>
          <w:rFonts w:ascii="等线" w:eastAsia="等线" w:hAnsi="Times New Roman"/>
          <w:color w:val="000000"/>
        </w:rPr>
      </w:pPr>
      <w:r w:rsidRPr="00062009">
        <w:rPr>
          <w:rFonts w:ascii="等线" w:eastAsia="等线" w:hAnsi="Times New Roman"/>
          <w:color w:val="000000"/>
        </w:rPr>
        <w:t>Represented several US biopharma companies in handling clinical trial applications and in establishing new R&amp;D and manufacturing entities in China</w:t>
      </w:r>
    </w:p>
    <w:p w14:paraId="78F6A761" w14:textId="77777777" w:rsidR="00062009" w:rsidRDefault="00062009" w:rsidP="00062009">
      <w:pPr>
        <w:pStyle w:val="af5"/>
        <w:numPr>
          <w:ilvl w:val="0"/>
          <w:numId w:val="12"/>
        </w:numPr>
        <w:spacing w:before="120"/>
        <w:ind w:left="690" w:hanging="240"/>
        <w:rPr>
          <w:rFonts w:ascii="等线" w:eastAsia="等线" w:hAnsi="Times New Roman"/>
          <w:color w:val="000000"/>
        </w:rPr>
      </w:pPr>
      <w:r w:rsidRPr="00062009">
        <w:rPr>
          <w:rFonts w:ascii="等线" w:eastAsia="等线" w:hAnsi="Times New Roman"/>
          <w:color w:val="000000"/>
        </w:rPr>
        <w:t>Represented a US medical device manufacturer in granting exclusive commercialization rights for several medical devices to a PRC company</w:t>
      </w:r>
    </w:p>
    <w:p w14:paraId="18F91F5C" w14:textId="77777777" w:rsidR="00062009" w:rsidRDefault="00062009" w:rsidP="00062009">
      <w:pPr>
        <w:pStyle w:val="af5"/>
        <w:numPr>
          <w:ilvl w:val="0"/>
          <w:numId w:val="13"/>
        </w:numPr>
        <w:spacing w:before="120"/>
        <w:ind w:left="690" w:hanging="240"/>
        <w:rPr>
          <w:rFonts w:ascii="等线" w:eastAsia="等线" w:hAnsi="Times New Roman"/>
          <w:color w:val="000000"/>
        </w:rPr>
      </w:pPr>
      <w:r w:rsidRPr="00062009">
        <w:rPr>
          <w:rFonts w:ascii="等线" w:eastAsia="等线" w:hAnsi="Times New Roman"/>
          <w:color w:val="000000"/>
        </w:rPr>
        <w:t>Represented several international medical device groups, bioscience groups and pharmaceutical companies, including Bayer, Mylan, Fresenius, Baxter, Novartis and Thermo Fisher, in their corporate legal matters, especially regarding market authorization, distribution and sales models as well as structural adjustments in response to developments in PRC law</w:t>
      </w:r>
    </w:p>
    <w:p w14:paraId="1890F046" w14:textId="77777777" w:rsidR="00062009" w:rsidRDefault="00062009" w:rsidP="00062009">
      <w:pPr>
        <w:pStyle w:val="af5"/>
        <w:spacing w:before="120"/>
        <w:rPr>
          <w:rFonts w:ascii="等线" w:eastAsia="等线" w:hAnsi="Times New Roman"/>
          <w:color w:val="000000"/>
        </w:rPr>
      </w:pPr>
      <w:r w:rsidRPr="00062009">
        <w:rPr>
          <w:rFonts w:ascii="等线" w:eastAsia="等线" w:hAnsi="Times New Roman"/>
          <w:color w:val="000000"/>
        </w:rPr>
        <w:t>Merger &amp; Acquisition</w:t>
      </w:r>
    </w:p>
    <w:p w14:paraId="6063F957" w14:textId="77777777" w:rsidR="00062009" w:rsidRDefault="00062009" w:rsidP="00062009">
      <w:pPr>
        <w:pStyle w:val="af5"/>
        <w:numPr>
          <w:ilvl w:val="0"/>
          <w:numId w:val="14"/>
        </w:numPr>
        <w:spacing w:before="120"/>
        <w:ind w:left="690" w:hanging="240"/>
        <w:rPr>
          <w:rFonts w:ascii="等线" w:eastAsia="等线" w:hAnsi="Times New Roman"/>
          <w:color w:val="000000"/>
        </w:rPr>
      </w:pPr>
      <w:r w:rsidRPr="00062009">
        <w:rPr>
          <w:rFonts w:ascii="等线" w:eastAsia="等线" w:hAnsi="Times New Roman"/>
          <w:color w:val="000000"/>
        </w:rPr>
        <w:t>Represented Yunfeng Capital and Cainiao in their respective strategic investments in the logistics sector, including in Haier Group, Yuantong Express, Best Logistics and other logistics and express delivery companies</w:t>
      </w:r>
    </w:p>
    <w:p w14:paraId="5C06E11F" w14:textId="77777777" w:rsidR="00062009" w:rsidRDefault="00062009" w:rsidP="00062009">
      <w:pPr>
        <w:pStyle w:val="af5"/>
        <w:numPr>
          <w:ilvl w:val="0"/>
          <w:numId w:val="15"/>
        </w:numPr>
        <w:spacing w:before="120"/>
        <w:ind w:left="690" w:hanging="240"/>
        <w:rPr>
          <w:rFonts w:ascii="等线" w:eastAsia="等线" w:hAnsi="Times New Roman"/>
          <w:color w:val="000000"/>
        </w:rPr>
      </w:pPr>
      <w:r w:rsidRPr="00062009">
        <w:rPr>
          <w:rFonts w:ascii="等线" w:eastAsia="等线" w:hAnsi="Times New Roman"/>
          <w:color w:val="000000"/>
        </w:rPr>
        <w:t>Represented Warburg Pincus in its investment in Zhongtong Express</w:t>
      </w:r>
    </w:p>
    <w:p w14:paraId="2A6AC516" w14:textId="77777777" w:rsidR="00062009" w:rsidRDefault="00062009" w:rsidP="00062009">
      <w:pPr>
        <w:pStyle w:val="af5"/>
        <w:numPr>
          <w:ilvl w:val="0"/>
          <w:numId w:val="16"/>
        </w:numPr>
        <w:spacing w:before="120"/>
        <w:ind w:left="690" w:hanging="240"/>
        <w:rPr>
          <w:rFonts w:ascii="等线" w:eastAsia="等线" w:hAnsi="Times New Roman"/>
          <w:color w:val="000000"/>
        </w:rPr>
      </w:pPr>
      <w:r w:rsidRPr="00062009">
        <w:rPr>
          <w:rFonts w:ascii="等线" w:eastAsia="等线" w:hAnsi="Times New Roman"/>
          <w:color w:val="000000"/>
        </w:rPr>
        <w:t>Represented Sequoia Capital in its investment in Pinduoduo, a leading e-commerce platform on WeChat</w:t>
      </w:r>
    </w:p>
    <w:p w14:paraId="25EBBC25" w14:textId="77777777" w:rsidR="00062009" w:rsidRDefault="00062009" w:rsidP="00062009">
      <w:pPr>
        <w:pStyle w:val="af5"/>
        <w:numPr>
          <w:ilvl w:val="0"/>
          <w:numId w:val="17"/>
        </w:numPr>
        <w:spacing w:before="120"/>
        <w:ind w:left="690" w:hanging="240"/>
        <w:rPr>
          <w:rFonts w:ascii="等线" w:eastAsia="等线" w:hAnsi="Times New Roman"/>
          <w:color w:val="000000"/>
        </w:rPr>
      </w:pPr>
      <w:r w:rsidRPr="00062009">
        <w:rPr>
          <w:rFonts w:ascii="等线" w:eastAsia="等线" w:hAnsi="Times New Roman"/>
          <w:color w:val="000000"/>
        </w:rPr>
        <w:t>Represented Goldman Sachs PIA in its equity investment in Zhejiang Yangfan, a leading private-owned shipbuilding company in China</w:t>
      </w:r>
    </w:p>
    <w:p w14:paraId="43CECF02" w14:textId="77777777" w:rsidR="00062009" w:rsidRDefault="00062009" w:rsidP="00062009">
      <w:pPr>
        <w:pStyle w:val="af5"/>
        <w:numPr>
          <w:ilvl w:val="0"/>
          <w:numId w:val="18"/>
        </w:numPr>
        <w:spacing w:before="120"/>
        <w:ind w:left="690" w:hanging="240"/>
        <w:rPr>
          <w:rFonts w:ascii="等线" w:eastAsia="等线" w:hAnsi="Times New Roman"/>
          <w:color w:val="000000"/>
        </w:rPr>
      </w:pPr>
      <w:r w:rsidRPr="00062009">
        <w:rPr>
          <w:rFonts w:ascii="等线" w:eastAsia="等线" w:hAnsi="Times New Roman"/>
          <w:color w:val="000000"/>
        </w:rPr>
        <w:t>Represented Wipro Unza in its acquisition of a domestic cosmetics manufacturer in China</w:t>
      </w:r>
    </w:p>
    <w:p w14:paraId="0151373A" w14:textId="77777777" w:rsidR="00062009" w:rsidRDefault="00062009" w:rsidP="00062009">
      <w:pPr>
        <w:pStyle w:val="af5"/>
        <w:numPr>
          <w:ilvl w:val="0"/>
          <w:numId w:val="19"/>
        </w:numPr>
        <w:spacing w:before="120"/>
        <w:ind w:left="690" w:hanging="240"/>
        <w:rPr>
          <w:rFonts w:ascii="等线" w:eastAsia="等线" w:hAnsi="Times New Roman"/>
          <w:color w:val="000000"/>
        </w:rPr>
      </w:pPr>
      <w:r w:rsidRPr="00062009">
        <w:rPr>
          <w:rFonts w:ascii="等线" w:eastAsia="等线" w:hAnsi="Times New Roman"/>
          <w:color w:val="000000"/>
        </w:rPr>
        <w:t>Represented a variety of leading domestic and international private equity investors, including Goldman Sachs, Carlyle, Guo Sheng, YF Capital, and CCMP, in their investments in China-based portfolio companies in various industries</w:t>
      </w:r>
    </w:p>
    <w:p w14:paraId="7199BDE9" w14:textId="77777777" w:rsidR="00062009" w:rsidRDefault="00062009" w:rsidP="00062009">
      <w:pPr>
        <w:pStyle w:val="af5"/>
        <w:spacing w:before="120"/>
        <w:rPr>
          <w:rFonts w:ascii="等线" w:eastAsia="等线" w:hAnsi="Times New Roman"/>
          <w:color w:val="000000"/>
        </w:rPr>
      </w:pPr>
      <w:r w:rsidRPr="00062009">
        <w:rPr>
          <w:rFonts w:ascii="等线" w:eastAsia="等线" w:hAnsi="Times New Roman"/>
          <w:color w:val="000000"/>
        </w:rPr>
        <w:t>Outbound Investment</w:t>
      </w:r>
    </w:p>
    <w:p w14:paraId="2E161993" w14:textId="77777777" w:rsidR="00062009" w:rsidRDefault="00062009" w:rsidP="00062009">
      <w:pPr>
        <w:pStyle w:val="af5"/>
        <w:numPr>
          <w:ilvl w:val="0"/>
          <w:numId w:val="20"/>
        </w:numPr>
        <w:spacing w:before="120"/>
        <w:ind w:left="690" w:hanging="240"/>
        <w:rPr>
          <w:rFonts w:ascii="等线" w:eastAsia="等线" w:hAnsi="Times New Roman"/>
          <w:color w:val="000000"/>
        </w:rPr>
      </w:pPr>
      <w:r w:rsidRPr="00062009">
        <w:rPr>
          <w:rFonts w:ascii="等线" w:eastAsia="等线" w:hAnsi="Times New Roman"/>
          <w:color w:val="000000"/>
        </w:rPr>
        <w:t>Advised Inner Mongolia Yili Group on its acquisition of Oceania Dairy Ltd. in New Zealand</w:t>
      </w:r>
    </w:p>
    <w:p w14:paraId="66F673B7" w14:textId="77777777" w:rsidR="00062009" w:rsidRDefault="00062009" w:rsidP="00062009">
      <w:pPr>
        <w:pStyle w:val="af5"/>
        <w:numPr>
          <w:ilvl w:val="0"/>
          <w:numId w:val="21"/>
        </w:numPr>
        <w:spacing w:before="120"/>
        <w:ind w:left="690" w:hanging="240"/>
        <w:rPr>
          <w:rFonts w:ascii="等线" w:eastAsia="等线" w:hAnsi="Times New Roman"/>
          <w:color w:val="000000"/>
        </w:rPr>
      </w:pPr>
      <w:r w:rsidRPr="00062009">
        <w:rPr>
          <w:rFonts w:ascii="等线" w:eastAsia="等线" w:hAnsi="Times New Roman"/>
          <w:color w:val="000000"/>
        </w:rPr>
        <w:t>Advised two leading state-owned enterprises in Shanghai on their proposed joint investment into a dairy group in Britain</w:t>
      </w:r>
    </w:p>
    <w:p w14:paraId="0A21FD1F" w14:textId="77777777" w:rsidR="00062009" w:rsidRDefault="00062009" w:rsidP="00062009">
      <w:pPr>
        <w:pStyle w:val="af5"/>
        <w:spacing w:before="120"/>
        <w:rPr>
          <w:rFonts w:ascii="等线" w:eastAsia="等线" w:hAnsi="Times New Roman"/>
          <w:color w:val="000000"/>
        </w:rPr>
      </w:pPr>
      <w:r w:rsidRPr="00062009">
        <w:rPr>
          <w:rFonts w:ascii="等线" w:eastAsia="等线" w:hAnsi="Times New Roman"/>
          <w:color w:val="000000"/>
        </w:rPr>
        <w:t>Capital Markets</w:t>
      </w:r>
    </w:p>
    <w:p w14:paraId="6728100F" w14:textId="77777777" w:rsidR="00062009" w:rsidRDefault="00062009" w:rsidP="00062009">
      <w:pPr>
        <w:pStyle w:val="af5"/>
        <w:numPr>
          <w:ilvl w:val="0"/>
          <w:numId w:val="22"/>
        </w:numPr>
        <w:spacing w:before="120"/>
        <w:ind w:left="690" w:hanging="240"/>
        <w:rPr>
          <w:rFonts w:ascii="等线" w:eastAsia="等线" w:hAnsi="Times New Roman"/>
          <w:color w:val="000000"/>
        </w:rPr>
      </w:pPr>
      <w:r w:rsidRPr="00062009">
        <w:rPr>
          <w:rFonts w:ascii="等线" w:eastAsia="等线" w:hAnsi="Times New Roman"/>
          <w:color w:val="000000"/>
        </w:rPr>
        <w:t>Represented Wuxi Biologics in its listing on the main board of the HKEx</w:t>
      </w:r>
    </w:p>
    <w:p w14:paraId="0AB525A4" w14:textId="77777777" w:rsidR="00062009" w:rsidRDefault="00062009" w:rsidP="00062009">
      <w:pPr>
        <w:pStyle w:val="af5"/>
        <w:numPr>
          <w:ilvl w:val="0"/>
          <w:numId w:val="23"/>
        </w:numPr>
        <w:spacing w:before="120"/>
        <w:ind w:left="690" w:hanging="240"/>
        <w:rPr>
          <w:rFonts w:ascii="等线" w:eastAsia="等线" w:hAnsi="Times New Roman"/>
          <w:color w:val="000000"/>
        </w:rPr>
      </w:pPr>
      <w:r w:rsidRPr="00062009">
        <w:rPr>
          <w:rFonts w:ascii="等线" w:eastAsia="等线" w:hAnsi="Times New Roman"/>
          <w:color w:val="000000"/>
        </w:rPr>
        <w:t>Represented iKang Group investors in the group's delisting from the NASDAQ and privatization</w:t>
      </w:r>
    </w:p>
    <w:p w14:paraId="5DE7BE92" w14:textId="77777777" w:rsidR="00062009" w:rsidRDefault="00062009" w:rsidP="00062009">
      <w:pPr>
        <w:pStyle w:val="af5"/>
        <w:numPr>
          <w:ilvl w:val="0"/>
          <w:numId w:val="24"/>
        </w:numPr>
        <w:spacing w:before="120"/>
        <w:ind w:left="690" w:hanging="240"/>
        <w:rPr>
          <w:rFonts w:ascii="等线" w:eastAsia="等线" w:hAnsi="Times New Roman"/>
          <w:color w:val="000000"/>
        </w:rPr>
      </w:pPr>
      <w:r w:rsidRPr="00062009">
        <w:rPr>
          <w:rFonts w:ascii="等线" w:eastAsia="等线" w:hAnsi="Times New Roman"/>
          <w:color w:val="000000"/>
        </w:rPr>
        <w:t>Acted as PRC counsel for the underwriters in iKang Group's NASDAQ IPO</w:t>
      </w:r>
    </w:p>
    <w:p w14:paraId="0AE2309F" w14:textId="77777777" w:rsidR="00062009" w:rsidRDefault="00062009" w:rsidP="00062009">
      <w:pPr>
        <w:pStyle w:val="af5"/>
        <w:spacing w:after="0" w:line="480" w:lineRule="auto"/>
        <w:rPr>
          <w:rFonts w:ascii="等线" w:eastAsia="等线" w:hAnsi="等线"/>
          <w:b/>
          <w:sz w:val="24"/>
        </w:rPr>
      </w:pPr>
      <w:r w:rsidRPr="00062009">
        <w:rPr>
          <w:rFonts w:ascii="等线" w:eastAsia="等线" w:hAnsi="等线"/>
          <w:b/>
          <w:sz w:val="24"/>
        </w:rPr>
        <w:t>Education</w:t>
      </w:r>
    </w:p>
    <w:p w14:paraId="68712A5B" w14:textId="77777777" w:rsidR="00062009" w:rsidRDefault="00062009" w:rsidP="00062009">
      <w:pPr>
        <w:pStyle w:val="af5"/>
        <w:numPr>
          <w:ilvl w:val="0"/>
          <w:numId w:val="25"/>
        </w:numPr>
        <w:spacing w:before="120"/>
        <w:ind w:left="690" w:hanging="240"/>
        <w:rPr>
          <w:rFonts w:ascii="等线" w:eastAsia="等线" w:hAnsi="Times New Roman"/>
          <w:color w:val="000000"/>
        </w:rPr>
      </w:pPr>
      <w:r w:rsidRPr="00062009">
        <w:rPr>
          <w:rFonts w:ascii="等线" w:eastAsia="等线" w:hAnsi="Times New Roman"/>
          <w:color w:val="000000"/>
        </w:rPr>
        <w:t>Shanghai International Studies University, School of Law, LL.B., China</w:t>
      </w:r>
    </w:p>
    <w:p w14:paraId="5CE83E8C" w14:textId="77777777" w:rsidR="00062009" w:rsidRDefault="00062009" w:rsidP="00062009">
      <w:pPr>
        <w:pStyle w:val="af5"/>
        <w:numPr>
          <w:ilvl w:val="0"/>
          <w:numId w:val="26"/>
        </w:numPr>
        <w:spacing w:before="120"/>
        <w:ind w:left="690" w:hanging="240"/>
        <w:rPr>
          <w:rFonts w:ascii="等线" w:eastAsia="等线" w:hAnsi="Times New Roman"/>
          <w:color w:val="000000"/>
        </w:rPr>
      </w:pPr>
      <w:r w:rsidRPr="00062009">
        <w:rPr>
          <w:rFonts w:ascii="等线" w:eastAsia="等线" w:hAnsi="Times New Roman"/>
          <w:color w:val="000000"/>
        </w:rPr>
        <w:t>Northwestern University School of Law, LL.M, USA</w:t>
      </w:r>
    </w:p>
    <w:p w14:paraId="597818DE" w14:textId="77777777" w:rsidR="00062009" w:rsidRDefault="00062009" w:rsidP="00062009">
      <w:pPr>
        <w:pStyle w:val="af5"/>
        <w:spacing w:after="0" w:line="480" w:lineRule="auto"/>
        <w:rPr>
          <w:rFonts w:ascii="等线" w:eastAsia="等线" w:hAnsi="等线"/>
          <w:b/>
          <w:sz w:val="24"/>
        </w:rPr>
      </w:pPr>
      <w:r w:rsidRPr="00062009">
        <w:rPr>
          <w:rFonts w:ascii="等线" w:eastAsia="等线" w:hAnsi="等线"/>
          <w:b/>
          <w:sz w:val="24"/>
        </w:rPr>
        <w:t>Professional Qualification</w:t>
      </w:r>
    </w:p>
    <w:p w14:paraId="27E121FA" w14:textId="77777777" w:rsidR="00062009" w:rsidRDefault="00062009" w:rsidP="00062009">
      <w:pPr>
        <w:pStyle w:val="af5"/>
        <w:numPr>
          <w:ilvl w:val="0"/>
          <w:numId w:val="27"/>
        </w:numPr>
        <w:spacing w:before="120"/>
        <w:ind w:left="690" w:hanging="240"/>
        <w:rPr>
          <w:rFonts w:ascii="等线" w:eastAsia="等线" w:hAnsi="Times New Roman"/>
          <w:color w:val="000000"/>
        </w:rPr>
      </w:pPr>
      <w:r w:rsidRPr="00062009">
        <w:rPr>
          <w:rFonts w:ascii="等线" w:eastAsia="等线" w:hAnsi="Times New Roman"/>
          <w:color w:val="000000"/>
        </w:rPr>
        <w:t>Admitted to practice in the PRC</w:t>
      </w:r>
    </w:p>
    <w:p w14:paraId="7ABCE3C6" w14:textId="77777777" w:rsidR="00062009" w:rsidRDefault="00062009" w:rsidP="00062009">
      <w:pPr>
        <w:pStyle w:val="af5"/>
        <w:numPr>
          <w:ilvl w:val="0"/>
          <w:numId w:val="28"/>
        </w:numPr>
        <w:spacing w:before="120"/>
        <w:ind w:left="690" w:hanging="240"/>
        <w:rPr>
          <w:rFonts w:ascii="等线" w:eastAsia="等线" w:hAnsi="Times New Roman"/>
          <w:color w:val="000000"/>
        </w:rPr>
      </w:pPr>
      <w:r w:rsidRPr="00062009">
        <w:rPr>
          <w:rFonts w:ascii="等线" w:eastAsia="等线" w:hAnsi="Times New Roman"/>
          <w:color w:val="000000"/>
        </w:rPr>
        <w:t>Admitted to practice in New York</w:t>
      </w:r>
    </w:p>
    <w:p w14:paraId="2F9F2A70" w14:textId="77777777" w:rsidR="00062009" w:rsidRDefault="00062009" w:rsidP="00062009">
      <w:pPr>
        <w:pStyle w:val="af5"/>
        <w:spacing w:after="0" w:line="480" w:lineRule="auto"/>
        <w:rPr>
          <w:rFonts w:ascii="等线" w:eastAsia="等线" w:hAnsi="等线"/>
          <w:b/>
          <w:sz w:val="24"/>
        </w:rPr>
      </w:pPr>
      <w:r w:rsidRPr="00062009">
        <w:rPr>
          <w:rFonts w:ascii="等线" w:eastAsia="等线" w:hAnsi="等线"/>
          <w:b/>
          <w:sz w:val="24"/>
        </w:rPr>
        <w:t>Professional Background</w:t>
      </w:r>
    </w:p>
    <w:p w14:paraId="5567FC3C" w14:textId="082BCB5B" w:rsidR="00686369" w:rsidRPr="00062009" w:rsidRDefault="00062009" w:rsidP="00062009">
      <w:pPr>
        <w:pStyle w:val="af5"/>
        <w:numPr>
          <w:ilvl w:val="0"/>
          <w:numId w:val="29"/>
        </w:numPr>
        <w:spacing w:before="120"/>
        <w:ind w:left="690" w:hanging="240"/>
        <w:rPr>
          <w:rFonts w:ascii="等线" w:eastAsia="等线" w:hAnsi="Times New Roman"/>
          <w:color w:val="000000"/>
        </w:rPr>
      </w:pPr>
      <w:r w:rsidRPr="00062009">
        <w:rPr>
          <w:rFonts w:ascii="等线" w:eastAsia="等线" w:hAnsi="Times New Roman"/>
          <w:color w:val="000000"/>
        </w:rPr>
        <w:t>Before joining the firm in 2007, Ms. Li worked at a leading international law firm and a top Chinese law firm for about five years.</w:t>
      </w:r>
    </w:p>
    <w:sectPr w:rsidR="00686369" w:rsidRPr="0006200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241D7"/>
    <w:multiLevelType w:val="singleLevel"/>
    <w:tmpl w:val="60C0F9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7A136D"/>
    <w:multiLevelType w:val="singleLevel"/>
    <w:tmpl w:val="94C01D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6D5FAF"/>
    <w:multiLevelType w:val="singleLevel"/>
    <w:tmpl w:val="93FE0EB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A0769E"/>
    <w:multiLevelType w:val="singleLevel"/>
    <w:tmpl w:val="DFC671B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3643BF"/>
    <w:multiLevelType w:val="singleLevel"/>
    <w:tmpl w:val="2382739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B7556A"/>
    <w:multiLevelType w:val="singleLevel"/>
    <w:tmpl w:val="6F12664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3621B3"/>
    <w:multiLevelType w:val="singleLevel"/>
    <w:tmpl w:val="8420447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AD3E61"/>
    <w:multiLevelType w:val="singleLevel"/>
    <w:tmpl w:val="26481EA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0818E3"/>
    <w:multiLevelType w:val="singleLevel"/>
    <w:tmpl w:val="26481EA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137EC6"/>
    <w:multiLevelType w:val="singleLevel"/>
    <w:tmpl w:val="BD2860C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1CD379D"/>
    <w:multiLevelType w:val="singleLevel"/>
    <w:tmpl w:val="4D5E96C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BB72533"/>
    <w:multiLevelType w:val="singleLevel"/>
    <w:tmpl w:val="8FBEEE2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01F38C8"/>
    <w:multiLevelType w:val="singleLevel"/>
    <w:tmpl w:val="838E77C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8051B2"/>
    <w:multiLevelType w:val="singleLevel"/>
    <w:tmpl w:val="8584C0B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452377C"/>
    <w:multiLevelType w:val="singleLevel"/>
    <w:tmpl w:val="7DF2517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0C2B37"/>
    <w:multiLevelType w:val="singleLevel"/>
    <w:tmpl w:val="A7C8109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19B611B"/>
    <w:multiLevelType w:val="singleLevel"/>
    <w:tmpl w:val="96E2D72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E787075"/>
    <w:multiLevelType w:val="singleLevel"/>
    <w:tmpl w:val="761A467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4A2777A"/>
    <w:multiLevelType w:val="singleLevel"/>
    <w:tmpl w:val="7CA0875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51B08B1"/>
    <w:multiLevelType w:val="singleLevel"/>
    <w:tmpl w:val="E290616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85674E6"/>
    <w:multiLevelType w:val="singleLevel"/>
    <w:tmpl w:val="4F6EBC9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0EF52C3"/>
    <w:multiLevelType w:val="singleLevel"/>
    <w:tmpl w:val="28ACC20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2FA43B0"/>
    <w:multiLevelType w:val="singleLevel"/>
    <w:tmpl w:val="CD9EA24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8145D07"/>
    <w:multiLevelType w:val="singleLevel"/>
    <w:tmpl w:val="AD4018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ADE6FAE"/>
    <w:multiLevelType w:val="singleLevel"/>
    <w:tmpl w:val="7B52736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B3E49FF"/>
    <w:multiLevelType w:val="singleLevel"/>
    <w:tmpl w:val="E1AE6E0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B454D34"/>
    <w:multiLevelType w:val="singleLevel"/>
    <w:tmpl w:val="C1A0AE3E"/>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25"/>
  </w:num>
  <w:num w:numId="4">
    <w:abstractNumId w:val="22"/>
  </w:num>
  <w:num w:numId="5">
    <w:abstractNumId w:val="9"/>
  </w:num>
  <w:num w:numId="6">
    <w:abstractNumId w:val="24"/>
  </w:num>
  <w:num w:numId="7">
    <w:abstractNumId w:val="5"/>
  </w:num>
  <w:num w:numId="8">
    <w:abstractNumId w:val="3"/>
  </w:num>
  <w:num w:numId="9">
    <w:abstractNumId w:val="15"/>
  </w:num>
  <w:num w:numId="10">
    <w:abstractNumId w:val="27"/>
  </w:num>
  <w:num w:numId="11">
    <w:abstractNumId w:val="28"/>
  </w:num>
  <w:num w:numId="12">
    <w:abstractNumId w:val="1"/>
  </w:num>
  <w:num w:numId="13">
    <w:abstractNumId w:val="20"/>
  </w:num>
  <w:num w:numId="14">
    <w:abstractNumId w:val="4"/>
  </w:num>
  <w:num w:numId="15">
    <w:abstractNumId w:val="26"/>
  </w:num>
  <w:num w:numId="16">
    <w:abstractNumId w:val="21"/>
  </w:num>
  <w:num w:numId="17">
    <w:abstractNumId w:val="16"/>
  </w:num>
  <w:num w:numId="18">
    <w:abstractNumId w:val="6"/>
  </w:num>
  <w:num w:numId="19">
    <w:abstractNumId w:val="18"/>
  </w:num>
  <w:num w:numId="20">
    <w:abstractNumId w:val="13"/>
  </w:num>
  <w:num w:numId="21">
    <w:abstractNumId w:val="17"/>
  </w:num>
  <w:num w:numId="22">
    <w:abstractNumId w:val="0"/>
  </w:num>
  <w:num w:numId="23">
    <w:abstractNumId w:val="14"/>
  </w:num>
  <w:num w:numId="24">
    <w:abstractNumId w:val="19"/>
  </w:num>
  <w:num w:numId="25">
    <w:abstractNumId w:val="2"/>
  </w:num>
  <w:num w:numId="26">
    <w:abstractNumId w:val="11"/>
  </w:num>
  <w:num w:numId="27">
    <w:abstractNumId w:val="23"/>
  </w:num>
  <w:num w:numId="28">
    <w:abstractNumId w:val="8"/>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2009"/>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62009"/>
    <w:pPr>
      <w:spacing w:after="120"/>
    </w:pPr>
  </w:style>
  <w:style w:type="character" w:customStyle="1" w:styleId="af6">
    <w:name w:val="正文文本 字符"/>
    <w:basedOn w:val="a0"/>
    <w:link w:val="af5"/>
    <w:uiPriority w:val="99"/>
    <w:rsid w:val="0006200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57C5E-06D7-4CB7-BA31-FF337AF43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548</Words>
  <Characters>3129</Characters>
  <Application>Microsoft Office Word</Application>
  <DocSecurity>0</DocSecurity>
  <Lines>26</Lines>
  <Paragraphs>7</Paragraphs>
  <ScaleCrop>false</ScaleCrop>
  <Company/>
  <LinksUpToDate>false</LinksUpToDate>
  <CharactersWithSpaces>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2026-05-16T23:42:00Z</dcterms:created>
  <dcterms:modified xsi:type="dcterms:W3CDTF">2026-05-16T23:42:00Z</dcterms:modified>
</cp:coreProperties>
</file>