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531483" w:rsidR="0049405C" w:rsidRPr="00C24D79" w:rsidRDefault="0076330D" w:rsidP="0076330D">
            <w:pPr>
              <w:spacing w:line="720" w:lineRule="auto"/>
              <w:rPr>
                <w:rFonts w:eastAsiaTheme="minorHAnsi"/>
                <w:color w:val="545551"/>
              </w:rPr>
            </w:pPr>
            <w:bookmarkStart w:id="0" w:name="xingming"/>
            <w:bookmarkStart w:id="1" w:name="_GoBack"/>
            <w:bookmarkEnd w:id="1"/>
            <w:r w:rsidRPr="0076330D">
              <w:rPr>
                <w:rFonts w:ascii="等线" w:eastAsia="等线" w:hAnsi="Times New Roman"/>
                <w:b/>
                <w:color w:val="000000"/>
                <w:sz w:val="48"/>
              </w:rPr>
              <w:t>CAROLINE HUANG</w:t>
            </w:r>
            <w:bookmarkEnd w:id="0"/>
          </w:p>
          <w:p w14:paraId="706EB16B" w14:textId="7446AB6C" w:rsidR="0049405C" w:rsidRPr="00C24D79" w:rsidRDefault="0076330D" w:rsidP="0076330D">
            <w:pPr>
              <w:spacing w:line="360" w:lineRule="auto"/>
              <w:rPr>
                <w:rFonts w:eastAsiaTheme="minorHAnsi"/>
                <w:b/>
                <w:bCs/>
                <w:color w:val="545551"/>
              </w:rPr>
            </w:pPr>
            <w:bookmarkStart w:id="2" w:name="didian"/>
            <w:r w:rsidRPr="0076330D">
              <w:rPr>
                <w:rFonts w:ascii="等线" w:eastAsia="等线" w:hAnsi="Times New Roman"/>
                <w:b/>
                <w:bCs/>
                <w:color w:val="000000"/>
              </w:rPr>
              <w:t>Partner</w:t>
            </w:r>
            <w:r w:rsidRPr="0076330D">
              <w:rPr>
                <w:rFonts w:ascii="等线" w:eastAsia="等线" w:hAnsi="Times New Roman"/>
                <w:b/>
                <w:bCs/>
                <w:color w:val="000000"/>
              </w:rPr>
              <w:t>·</w:t>
            </w:r>
            <w:r w:rsidRPr="0076330D">
              <w:rPr>
                <w:rFonts w:ascii="等线" w:eastAsia="等线" w:hAnsi="Times New Roman"/>
                <w:b/>
                <w:bCs/>
                <w:color w:val="000000"/>
              </w:rPr>
              <w:t>Beijing</w:t>
            </w:r>
            <w:bookmarkEnd w:id="2"/>
          </w:p>
          <w:p w14:paraId="6199424A" w14:textId="562B3329" w:rsidR="0049405C" w:rsidRPr="00C24D79" w:rsidRDefault="0076330D" w:rsidP="0076330D">
            <w:pPr>
              <w:spacing w:line="360" w:lineRule="auto"/>
              <w:rPr>
                <w:rFonts w:eastAsiaTheme="minorHAnsi"/>
                <w:color w:val="545551"/>
              </w:rPr>
            </w:pPr>
            <w:bookmarkStart w:id="3" w:name="dianhua"/>
            <w:r w:rsidRPr="0076330D">
              <w:rPr>
                <w:rFonts w:ascii="等线" w:eastAsia="等线" w:hAnsi="Times New Roman"/>
                <w:color w:val="000000"/>
              </w:rPr>
              <w:t>+86 10 5769 5624</w:t>
            </w:r>
            <w:bookmarkEnd w:id="3"/>
          </w:p>
          <w:p w14:paraId="4F910ACA" w14:textId="52569F82" w:rsidR="0049405C" w:rsidRPr="00C24D79" w:rsidRDefault="0076330D" w:rsidP="0076330D">
            <w:pPr>
              <w:spacing w:line="360" w:lineRule="auto"/>
              <w:rPr>
                <w:rFonts w:eastAsiaTheme="minorHAnsi"/>
                <w:color w:val="000000"/>
              </w:rPr>
            </w:pPr>
            <w:bookmarkStart w:id="4" w:name="youxiang"/>
            <w:r w:rsidRPr="0076330D">
              <w:rPr>
                <w:rFonts w:ascii="等线" w:eastAsia="等线" w:hAnsi="Times New Roman"/>
                <w:color w:val="000000"/>
              </w:rPr>
              <w:t>caroline.huang@fangdalaw.com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2D87E07" w:rsidR="0049405C" w:rsidRPr="00C24D79" w:rsidRDefault="0076330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667881E" wp14:editId="2E93796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32227B" w:rsidR="009465FB" w:rsidRPr="00C24D79" w:rsidRDefault="0076330D" w:rsidP="007177F3">
            <w:pPr>
              <w:rPr>
                <w:rFonts w:eastAsiaTheme="minorHAnsi"/>
                <w:color w:val="000000"/>
                <w:szCs w:val="21"/>
              </w:rPr>
            </w:pPr>
            <w:bookmarkStart w:id="6" w:name="zhiyelingyu"/>
            <w:r w:rsidRPr="0076330D">
              <w:rPr>
                <w:rFonts w:ascii="等线" w:eastAsia="等线" w:hAnsi="Times New Roman"/>
                <w:color w:val="000000"/>
                <w:szCs w:val="21"/>
              </w:rPr>
              <w:t>MS. HUANG SPECIALIZES IN ANTITRUST AND COMPETITION LAW, INCLUDING MERGER CONTROL FILINGS, ANTITRUST COMPLIANCE AND ANTITRUST ADMINISTRATIVE INVESTIGATIONS.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3494137" w14:textId="77777777" w:rsidR="0076330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2750DF" w14:textId="77777777" w:rsidR="0076330D" w:rsidRDefault="0076330D" w:rsidP="0076330D">
      <w:pPr>
        <w:pStyle w:val="af5"/>
        <w:spacing w:before="120"/>
        <w:rPr>
          <w:rFonts w:ascii="等线" w:eastAsia="等线" w:hAnsi="Times New Roman"/>
          <w:color w:val="000000"/>
        </w:rPr>
      </w:pPr>
      <w:r w:rsidRPr="0076330D">
        <w:rPr>
          <w:rFonts w:ascii="等线" w:eastAsia="等线" w:hAnsi="Times New Roman"/>
          <w:color w:val="000000"/>
        </w:rPr>
        <w:t>Ms. Huang started practicing competition law at the same time the PRC anti-monopoly law came into effect in 2008. She is experienced in providing legal advice on merger filings, antitrust administrative investigations and compliance reviews. Her clients operate in a wide range of industries, including consumer products, finance, high-tech, manufacturing, natural resources, pharmaceuticals and shipping.</w:t>
      </w:r>
    </w:p>
    <w:p w14:paraId="2A13956D" w14:textId="77777777" w:rsidR="0076330D" w:rsidRDefault="0076330D" w:rsidP="0076330D">
      <w:pPr>
        <w:pStyle w:val="af5"/>
        <w:spacing w:before="120"/>
        <w:rPr>
          <w:rFonts w:ascii="等线" w:eastAsia="等线" w:hAnsi="Times New Roman"/>
          <w:color w:val="000000"/>
        </w:rPr>
      </w:pPr>
      <w:r w:rsidRPr="0076330D">
        <w:rPr>
          <w:rFonts w:ascii="等线" w:eastAsia="等线" w:hAnsi="Times New Roman"/>
          <w:color w:val="000000"/>
        </w:rPr>
        <w:t>Ms. Huang has been actively involved in consulting with and providing recommendations to legislators. She also maintains close working relationships with the administrative officials responsible for anti-monopoly and anti-unfair competition. Through these interactions, she has obtained a deep understanding of the changes and developments in PRC laws and policies and can use that knowledge to fully assist her clients in communicating with administrative agencies.</w:t>
      </w:r>
    </w:p>
    <w:p w14:paraId="1C83EBD0" w14:textId="77777777" w:rsidR="0076330D" w:rsidRDefault="0076330D" w:rsidP="0076330D">
      <w:pPr>
        <w:pStyle w:val="af5"/>
        <w:spacing w:after="0" w:line="480" w:lineRule="auto"/>
        <w:rPr>
          <w:rFonts w:ascii="等线" w:eastAsia="等线" w:hAnsi="等线"/>
          <w:b/>
          <w:sz w:val="24"/>
        </w:rPr>
      </w:pPr>
      <w:r w:rsidRPr="0076330D">
        <w:rPr>
          <w:rFonts w:ascii="等线" w:eastAsia="等线" w:hAnsi="等线"/>
          <w:b/>
          <w:sz w:val="24"/>
        </w:rPr>
        <w:t>REPRESENTATIVE MATTERS AND CASES</w:t>
      </w:r>
    </w:p>
    <w:p w14:paraId="57065C92" w14:textId="77777777" w:rsidR="0076330D" w:rsidRDefault="0076330D" w:rsidP="0076330D">
      <w:pPr>
        <w:pStyle w:val="af5"/>
        <w:spacing w:before="120"/>
        <w:rPr>
          <w:rFonts w:ascii="等线" w:eastAsia="等线" w:hAnsi="Times New Roman"/>
          <w:color w:val="000000"/>
        </w:rPr>
      </w:pPr>
      <w:r w:rsidRPr="0076330D">
        <w:rPr>
          <w:rFonts w:ascii="等线" w:eastAsia="等线" w:hAnsi="Times New Roman"/>
          <w:color w:val="000000"/>
        </w:rPr>
        <w:t>Merger filing</w:t>
      </w:r>
    </w:p>
    <w:p w14:paraId="6596448F" w14:textId="77777777" w:rsidR="0076330D" w:rsidRDefault="0076330D" w:rsidP="0076330D">
      <w:pPr>
        <w:pStyle w:val="af5"/>
        <w:numPr>
          <w:ilvl w:val="0"/>
          <w:numId w:val="4"/>
        </w:numPr>
        <w:spacing w:before="120"/>
        <w:ind w:left="690" w:hanging="240"/>
        <w:rPr>
          <w:rFonts w:ascii="等线" w:eastAsia="等线" w:hAnsi="Times New Roman"/>
          <w:color w:val="000000"/>
        </w:rPr>
      </w:pPr>
      <w:r w:rsidRPr="0076330D">
        <w:rPr>
          <w:rFonts w:ascii="等线" w:eastAsia="等线" w:hAnsi="Times New Roman"/>
          <w:color w:val="000000"/>
        </w:rPr>
        <w:t>Represented WABCO Holdings Inc. in the PRC merger filing for its acquisition by ZF Friedrichshafen AG</w:t>
      </w:r>
    </w:p>
    <w:p w14:paraId="20EBA342" w14:textId="77777777" w:rsidR="0076330D" w:rsidRDefault="0076330D" w:rsidP="0076330D">
      <w:pPr>
        <w:pStyle w:val="af5"/>
        <w:numPr>
          <w:ilvl w:val="0"/>
          <w:numId w:val="5"/>
        </w:numPr>
        <w:spacing w:before="120"/>
        <w:ind w:left="690" w:hanging="240"/>
        <w:rPr>
          <w:rFonts w:ascii="等线" w:eastAsia="等线" w:hAnsi="Times New Roman"/>
          <w:color w:val="000000"/>
        </w:rPr>
      </w:pPr>
      <w:r w:rsidRPr="0076330D">
        <w:rPr>
          <w:rFonts w:ascii="等线" w:eastAsia="等线" w:hAnsi="Times New Roman"/>
          <w:color w:val="000000"/>
        </w:rPr>
        <w:t>Represented Cargotec in the PRC merger filing for its proposed acquisition of businesses of TTS</w:t>
      </w:r>
    </w:p>
    <w:p w14:paraId="539A74A9" w14:textId="77777777" w:rsidR="0076330D" w:rsidRDefault="0076330D" w:rsidP="0076330D">
      <w:pPr>
        <w:pStyle w:val="af5"/>
        <w:numPr>
          <w:ilvl w:val="0"/>
          <w:numId w:val="6"/>
        </w:numPr>
        <w:spacing w:before="120"/>
        <w:ind w:left="690" w:hanging="240"/>
        <w:rPr>
          <w:rFonts w:ascii="等线" w:eastAsia="等线" w:hAnsi="Times New Roman"/>
          <w:color w:val="000000"/>
        </w:rPr>
      </w:pPr>
      <w:r w:rsidRPr="0076330D">
        <w:rPr>
          <w:rFonts w:ascii="等线" w:eastAsia="等线" w:hAnsi="Times New Roman"/>
          <w:color w:val="000000"/>
        </w:rPr>
        <w:t>Represented Anta Sports and FountainVest in the PRC merger filing for their joint acquisition of Amer Sports for EUR 4.7 billion</w:t>
      </w:r>
    </w:p>
    <w:p w14:paraId="4FDD40F2" w14:textId="77777777" w:rsidR="0076330D" w:rsidRDefault="0076330D" w:rsidP="0076330D">
      <w:pPr>
        <w:pStyle w:val="af5"/>
        <w:numPr>
          <w:ilvl w:val="0"/>
          <w:numId w:val="7"/>
        </w:numPr>
        <w:spacing w:before="120"/>
        <w:ind w:left="690" w:hanging="240"/>
        <w:rPr>
          <w:rFonts w:ascii="等线" w:eastAsia="等线" w:hAnsi="Times New Roman"/>
          <w:color w:val="000000"/>
        </w:rPr>
      </w:pPr>
      <w:r w:rsidRPr="0076330D">
        <w:rPr>
          <w:rFonts w:ascii="等线" w:eastAsia="等线" w:hAnsi="Times New Roman"/>
          <w:color w:val="000000"/>
        </w:rPr>
        <w:t>Represented AB Inbev in the PRC merger filing for its proposed acquisition of SAB Miller for USD 104 billion</w:t>
      </w:r>
    </w:p>
    <w:p w14:paraId="78DA92EF" w14:textId="77777777" w:rsidR="0076330D" w:rsidRDefault="0076330D" w:rsidP="0076330D">
      <w:pPr>
        <w:pStyle w:val="af5"/>
        <w:numPr>
          <w:ilvl w:val="0"/>
          <w:numId w:val="8"/>
        </w:numPr>
        <w:spacing w:before="120"/>
        <w:ind w:left="690" w:hanging="240"/>
        <w:rPr>
          <w:rFonts w:ascii="等线" w:eastAsia="等线" w:hAnsi="Times New Roman"/>
          <w:color w:val="000000"/>
        </w:rPr>
      </w:pPr>
      <w:r w:rsidRPr="0076330D">
        <w:rPr>
          <w:rFonts w:ascii="等线" w:eastAsia="等线" w:hAnsi="Times New Roman"/>
          <w:color w:val="000000"/>
        </w:rPr>
        <w:t>Represented EMC in the PRC merger filing for its acquisition by Dell for USD 67 billion</w:t>
      </w:r>
    </w:p>
    <w:p w14:paraId="71E48E52" w14:textId="77777777" w:rsidR="0076330D" w:rsidRDefault="0076330D" w:rsidP="0076330D">
      <w:pPr>
        <w:pStyle w:val="af5"/>
        <w:numPr>
          <w:ilvl w:val="0"/>
          <w:numId w:val="9"/>
        </w:numPr>
        <w:spacing w:before="120"/>
        <w:ind w:left="690" w:hanging="240"/>
        <w:rPr>
          <w:rFonts w:ascii="等线" w:eastAsia="等线" w:hAnsi="Times New Roman"/>
          <w:color w:val="000000"/>
        </w:rPr>
      </w:pPr>
      <w:r w:rsidRPr="0076330D">
        <w:rPr>
          <w:rFonts w:ascii="等线" w:eastAsia="等线" w:hAnsi="Times New Roman"/>
          <w:color w:val="000000"/>
        </w:rPr>
        <w:t>Represented Cheung Kong Infrastructure and Power Assets in the PRC merger filing for their RMB 76.4 billion merger</w:t>
      </w:r>
    </w:p>
    <w:p w14:paraId="05B189BA" w14:textId="77777777" w:rsidR="0076330D" w:rsidRDefault="0076330D" w:rsidP="0076330D">
      <w:pPr>
        <w:pStyle w:val="af5"/>
        <w:numPr>
          <w:ilvl w:val="0"/>
          <w:numId w:val="10"/>
        </w:numPr>
        <w:spacing w:before="120"/>
        <w:ind w:left="690" w:hanging="240"/>
        <w:rPr>
          <w:rFonts w:ascii="等线" w:eastAsia="等线" w:hAnsi="Times New Roman"/>
          <w:color w:val="000000"/>
        </w:rPr>
      </w:pPr>
      <w:r w:rsidRPr="0076330D">
        <w:rPr>
          <w:rFonts w:ascii="等线" w:eastAsia="等线" w:hAnsi="Times New Roman"/>
          <w:color w:val="000000"/>
        </w:rPr>
        <w:t>Represented Goldman Sachs and Rhone in the PRC merger filing for their joint acquisition of Neovia Logistics for USD 490 million</w:t>
      </w:r>
    </w:p>
    <w:p w14:paraId="1CFDC05E" w14:textId="77777777" w:rsidR="0076330D" w:rsidRDefault="0076330D" w:rsidP="0076330D">
      <w:pPr>
        <w:pStyle w:val="af5"/>
        <w:numPr>
          <w:ilvl w:val="0"/>
          <w:numId w:val="11"/>
        </w:numPr>
        <w:spacing w:before="120"/>
        <w:ind w:left="690" w:hanging="240"/>
        <w:rPr>
          <w:rFonts w:ascii="等线" w:eastAsia="等线" w:hAnsi="Times New Roman"/>
          <w:color w:val="000000"/>
        </w:rPr>
      </w:pPr>
      <w:r w:rsidRPr="0076330D">
        <w:rPr>
          <w:rFonts w:ascii="等线" w:eastAsia="等线" w:hAnsi="Times New Roman"/>
          <w:color w:val="000000"/>
        </w:rPr>
        <w:t>Represented Dresser Rand in the PRC merger filing for its acquisition by Siemens for USD 7.6 billion</w:t>
      </w:r>
    </w:p>
    <w:p w14:paraId="7892E339" w14:textId="77777777" w:rsidR="0076330D" w:rsidRDefault="0076330D" w:rsidP="0076330D">
      <w:pPr>
        <w:pStyle w:val="af5"/>
        <w:numPr>
          <w:ilvl w:val="0"/>
          <w:numId w:val="12"/>
        </w:numPr>
        <w:spacing w:before="120"/>
        <w:ind w:left="690" w:hanging="240"/>
        <w:rPr>
          <w:rFonts w:ascii="等线" w:eastAsia="等线" w:hAnsi="Times New Roman"/>
          <w:color w:val="000000"/>
        </w:rPr>
      </w:pPr>
      <w:r w:rsidRPr="0076330D">
        <w:rPr>
          <w:rFonts w:ascii="等线" w:eastAsia="等线" w:hAnsi="Times New Roman"/>
          <w:color w:val="000000"/>
        </w:rPr>
        <w:t>Represented Ant Financial on the PRC merger filing for a series of its transactions, including the acquisition of shares in the Indian online payment company One 97, the Thai online payment and online shopping companies Ascend Nano and True Money, and the Chinese rural microfinance company CFPA Microfinance</w:t>
      </w:r>
    </w:p>
    <w:p w14:paraId="3E955078" w14:textId="77777777" w:rsidR="0076330D" w:rsidRDefault="0076330D" w:rsidP="0076330D">
      <w:pPr>
        <w:pStyle w:val="af5"/>
        <w:spacing w:before="120"/>
        <w:rPr>
          <w:rFonts w:ascii="等线" w:eastAsia="等线" w:hAnsi="Times New Roman"/>
          <w:color w:val="000000"/>
        </w:rPr>
      </w:pPr>
      <w:r w:rsidRPr="0076330D">
        <w:rPr>
          <w:rFonts w:ascii="等线" w:eastAsia="等线" w:hAnsi="Times New Roman"/>
          <w:color w:val="000000"/>
        </w:rPr>
        <w:t>Investigatory work</w:t>
      </w:r>
    </w:p>
    <w:p w14:paraId="6E01DE1F" w14:textId="77777777" w:rsidR="0076330D" w:rsidRDefault="0076330D" w:rsidP="0076330D">
      <w:pPr>
        <w:pStyle w:val="af5"/>
        <w:numPr>
          <w:ilvl w:val="0"/>
          <w:numId w:val="13"/>
        </w:numPr>
        <w:spacing w:before="120"/>
        <w:ind w:left="690" w:hanging="240"/>
        <w:rPr>
          <w:rFonts w:ascii="等线" w:eastAsia="等线" w:hAnsi="Times New Roman"/>
          <w:color w:val="000000"/>
        </w:rPr>
      </w:pPr>
      <w:r w:rsidRPr="0076330D">
        <w:rPr>
          <w:rFonts w:ascii="等线" w:eastAsia="等线" w:hAnsi="Times New Roman"/>
          <w:color w:val="000000"/>
        </w:rPr>
        <w:t>Represented a state-owned infrastructure company in an NDRC investigation into abuse of dominance</w:t>
      </w:r>
    </w:p>
    <w:p w14:paraId="719E0203" w14:textId="77777777" w:rsidR="0076330D" w:rsidRDefault="0076330D" w:rsidP="0076330D">
      <w:pPr>
        <w:pStyle w:val="af5"/>
        <w:numPr>
          <w:ilvl w:val="0"/>
          <w:numId w:val="14"/>
        </w:numPr>
        <w:spacing w:before="120"/>
        <w:ind w:left="690" w:hanging="240"/>
        <w:rPr>
          <w:rFonts w:ascii="等线" w:eastAsia="等线" w:hAnsi="Times New Roman"/>
          <w:color w:val="000000"/>
        </w:rPr>
      </w:pPr>
      <w:r w:rsidRPr="0076330D">
        <w:rPr>
          <w:rFonts w:ascii="等线" w:eastAsia="等线" w:hAnsi="Times New Roman"/>
          <w:color w:val="000000"/>
        </w:rPr>
        <w:t>Represented an international shipping company in an NDRC cartel investigation</w:t>
      </w:r>
    </w:p>
    <w:p w14:paraId="6A4B1B66" w14:textId="77777777" w:rsidR="0076330D" w:rsidRDefault="0076330D" w:rsidP="0076330D">
      <w:pPr>
        <w:pStyle w:val="af5"/>
        <w:numPr>
          <w:ilvl w:val="0"/>
          <w:numId w:val="15"/>
        </w:numPr>
        <w:spacing w:before="120"/>
        <w:ind w:left="690" w:hanging="240"/>
        <w:rPr>
          <w:rFonts w:ascii="等线" w:eastAsia="等线" w:hAnsi="Times New Roman"/>
          <w:color w:val="000000"/>
        </w:rPr>
      </w:pPr>
      <w:r w:rsidRPr="0076330D">
        <w:rPr>
          <w:rFonts w:ascii="等线" w:eastAsia="等线" w:hAnsi="Times New Roman"/>
          <w:color w:val="000000"/>
        </w:rPr>
        <w:t>Represented an electronics company in responding to antitrust inquiries from the NDRC on abuse of dominance</w:t>
      </w:r>
    </w:p>
    <w:p w14:paraId="76545D9A" w14:textId="77777777" w:rsidR="0076330D" w:rsidRDefault="0076330D" w:rsidP="0076330D">
      <w:pPr>
        <w:pStyle w:val="af5"/>
        <w:numPr>
          <w:ilvl w:val="0"/>
          <w:numId w:val="16"/>
        </w:numPr>
        <w:spacing w:before="120"/>
        <w:ind w:left="690" w:hanging="240"/>
        <w:rPr>
          <w:rFonts w:ascii="等线" w:eastAsia="等线" w:hAnsi="Times New Roman"/>
          <w:color w:val="000000"/>
        </w:rPr>
      </w:pPr>
      <w:r w:rsidRPr="0076330D">
        <w:rPr>
          <w:rFonts w:ascii="等线" w:eastAsia="等线" w:hAnsi="Times New Roman"/>
          <w:color w:val="000000"/>
        </w:rPr>
        <w:t>Represented two multinational pharmaceutical companies in the antitrust administrative investigation conducted by the NDRC into vertical monopoly agreements</w:t>
      </w:r>
    </w:p>
    <w:p w14:paraId="5E88C028" w14:textId="77777777" w:rsidR="0076330D" w:rsidRDefault="0076330D" w:rsidP="0076330D">
      <w:pPr>
        <w:pStyle w:val="af5"/>
        <w:numPr>
          <w:ilvl w:val="0"/>
          <w:numId w:val="17"/>
        </w:numPr>
        <w:spacing w:before="120"/>
        <w:ind w:left="690" w:hanging="240"/>
        <w:rPr>
          <w:rFonts w:ascii="等线" w:eastAsia="等线" w:hAnsi="Times New Roman"/>
          <w:color w:val="000000"/>
        </w:rPr>
      </w:pPr>
      <w:r w:rsidRPr="0076330D">
        <w:rPr>
          <w:rFonts w:ascii="等线" w:eastAsia="等线" w:hAnsi="Times New Roman"/>
          <w:color w:val="000000"/>
        </w:rPr>
        <w:t>Represented a state-owned financial company in an NDRC investigation into abuse of dominance</w:t>
      </w:r>
    </w:p>
    <w:p w14:paraId="635F141C" w14:textId="77777777" w:rsidR="0076330D" w:rsidRDefault="0076330D" w:rsidP="0076330D">
      <w:pPr>
        <w:pStyle w:val="af5"/>
        <w:numPr>
          <w:ilvl w:val="0"/>
          <w:numId w:val="18"/>
        </w:numPr>
        <w:spacing w:before="120"/>
        <w:ind w:left="690" w:hanging="240"/>
        <w:rPr>
          <w:rFonts w:ascii="等线" w:eastAsia="等线" w:hAnsi="Times New Roman"/>
          <w:color w:val="000000"/>
        </w:rPr>
      </w:pPr>
      <w:r w:rsidRPr="0076330D">
        <w:rPr>
          <w:rFonts w:ascii="等线" w:eastAsia="等线" w:hAnsi="Times New Roman"/>
          <w:color w:val="000000"/>
        </w:rPr>
        <w:t>Represented an international agriculture company in an NDRC investigation into vertical monopoly agreements</w:t>
      </w:r>
    </w:p>
    <w:p w14:paraId="6DD2C3B1" w14:textId="77777777" w:rsidR="0076330D" w:rsidRDefault="0076330D" w:rsidP="0076330D">
      <w:pPr>
        <w:pStyle w:val="af5"/>
        <w:numPr>
          <w:ilvl w:val="0"/>
          <w:numId w:val="19"/>
        </w:numPr>
        <w:spacing w:before="120"/>
        <w:ind w:left="690" w:hanging="240"/>
        <w:rPr>
          <w:rFonts w:ascii="等线" w:eastAsia="等线" w:hAnsi="Times New Roman"/>
          <w:color w:val="000000"/>
        </w:rPr>
      </w:pPr>
      <w:r w:rsidRPr="0076330D">
        <w:rPr>
          <w:rFonts w:ascii="等线" w:eastAsia="等线" w:hAnsi="Times New Roman"/>
          <w:color w:val="000000"/>
        </w:rPr>
        <w:t>Represented an international technology company in an antitrust administrative investigation conducted by the SAIC</w:t>
      </w:r>
    </w:p>
    <w:p w14:paraId="40C5424F" w14:textId="77777777" w:rsidR="0076330D" w:rsidRDefault="0076330D" w:rsidP="0076330D">
      <w:pPr>
        <w:pStyle w:val="af5"/>
        <w:numPr>
          <w:ilvl w:val="0"/>
          <w:numId w:val="20"/>
        </w:numPr>
        <w:spacing w:before="120"/>
        <w:ind w:left="690" w:hanging="240"/>
        <w:rPr>
          <w:rFonts w:ascii="等线" w:eastAsia="等线" w:hAnsi="Times New Roman"/>
          <w:color w:val="000000"/>
        </w:rPr>
      </w:pPr>
      <w:r w:rsidRPr="0076330D">
        <w:rPr>
          <w:rFonts w:ascii="等线" w:eastAsia="等线" w:hAnsi="Times New Roman"/>
          <w:color w:val="000000"/>
        </w:rPr>
        <w:t>Represented several domestic and multinational companies in MOFCOM antitrust investigations into the failure to notify</w:t>
      </w:r>
    </w:p>
    <w:p w14:paraId="71F76E4D" w14:textId="77777777" w:rsidR="0076330D" w:rsidRDefault="0076330D" w:rsidP="0076330D">
      <w:pPr>
        <w:pStyle w:val="af5"/>
        <w:numPr>
          <w:ilvl w:val="0"/>
          <w:numId w:val="21"/>
        </w:numPr>
        <w:spacing w:before="120"/>
        <w:ind w:left="690" w:hanging="240"/>
        <w:rPr>
          <w:rFonts w:ascii="等线" w:eastAsia="等线" w:hAnsi="Times New Roman"/>
          <w:color w:val="000000"/>
        </w:rPr>
      </w:pPr>
      <w:r w:rsidRPr="0076330D">
        <w:rPr>
          <w:rFonts w:ascii="等线" w:eastAsia="等线" w:hAnsi="Times New Roman"/>
          <w:color w:val="000000"/>
        </w:rPr>
        <w:t>Represented two international chemicals companies in cooperating with the antitrust administrative investigation conducted by the SAIC</w:t>
      </w:r>
    </w:p>
    <w:p w14:paraId="7243F9F3" w14:textId="77777777" w:rsidR="0076330D" w:rsidRDefault="0076330D" w:rsidP="0076330D">
      <w:pPr>
        <w:pStyle w:val="af5"/>
        <w:spacing w:after="0" w:line="480" w:lineRule="auto"/>
        <w:rPr>
          <w:rFonts w:ascii="等线" w:eastAsia="等线" w:hAnsi="等线"/>
          <w:b/>
          <w:sz w:val="24"/>
        </w:rPr>
      </w:pPr>
      <w:r w:rsidRPr="0076330D">
        <w:rPr>
          <w:rFonts w:ascii="等线" w:eastAsia="等线" w:hAnsi="等线"/>
          <w:b/>
          <w:sz w:val="24"/>
        </w:rPr>
        <w:t>Education</w:t>
      </w:r>
    </w:p>
    <w:p w14:paraId="3FA4274B" w14:textId="77777777" w:rsidR="0076330D" w:rsidRDefault="0076330D" w:rsidP="0076330D">
      <w:pPr>
        <w:pStyle w:val="af5"/>
        <w:numPr>
          <w:ilvl w:val="0"/>
          <w:numId w:val="22"/>
        </w:numPr>
        <w:spacing w:before="120"/>
        <w:ind w:left="690" w:hanging="240"/>
        <w:rPr>
          <w:rFonts w:ascii="等线" w:eastAsia="等线" w:hAnsi="Times New Roman"/>
          <w:color w:val="000000"/>
        </w:rPr>
      </w:pPr>
      <w:r w:rsidRPr="0076330D">
        <w:rPr>
          <w:rFonts w:ascii="等线" w:eastAsia="等线" w:hAnsi="Times New Roman"/>
          <w:color w:val="000000"/>
        </w:rPr>
        <w:t>The Chinese University of Hong Kong, LL.M.</w:t>
      </w:r>
    </w:p>
    <w:p w14:paraId="7D1316F1" w14:textId="77777777" w:rsidR="0076330D" w:rsidRDefault="0076330D" w:rsidP="0076330D">
      <w:pPr>
        <w:pStyle w:val="af5"/>
        <w:numPr>
          <w:ilvl w:val="0"/>
          <w:numId w:val="23"/>
        </w:numPr>
        <w:spacing w:before="120"/>
        <w:ind w:left="690" w:hanging="240"/>
        <w:rPr>
          <w:rFonts w:ascii="等线" w:eastAsia="等线" w:hAnsi="Times New Roman"/>
          <w:color w:val="000000"/>
        </w:rPr>
      </w:pPr>
      <w:r w:rsidRPr="0076330D">
        <w:rPr>
          <w:rFonts w:ascii="等线" w:eastAsia="等线" w:hAnsi="Times New Roman"/>
          <w:color w:val="000000"/>
        </w:rPr>
        <w:t>Peking University, LL.B.</w:t>
      </w:r>
    </w:p>
    <w:p w14:paraId="4D5D3392" w14:textId="77777777" w:rsidR="0076330D" w:rsidRDefault="0076330D" w:rsidP="0076330D">
      <w:pPr>
        <w:pStyle w:val="af5"/>
        <w:spacing w:after="0" w:line="480" w:lineRule="auto"/>
        <w:rPr>
          <w:rFonts w:ascii="等线" w:eastAsia="等线" w:hAnsi="等线"/>
          <w:b/>
          <w:sz w:val="24"/>
        </w:rPr>
      </w:pPr>
      <w:r w:rsidRPr="0076330D">
        <w:rPr>
          <w:rFonts w:ascii="等线" w:eastAsia="等线" w:hAnsi="等线"/>
          <w:b/>
          <w:sz w:val="24"/>
        </w:rPr>
        <w:t>Professional Qualification</w:t>
      </w:r>
    </w:p>
    <w:p w14:paraId="7F424381" w14:textId="77777777" w:rsidR="0076330D" w:rsidRDefault="0076330D" w:rsidP="0076330D">
      <w:pPr>
        <w:pStyle w:val="af5"/>
        <w:numPr>
          <w:ilvl w:val="0"/>
          <w:numId w:val="24"/>
        </w:numPr>
        <w:spacing w:before="120"/>
        <w:ind w:left="690" w:hanging="240"/>
        <w:rPr>
          <w:rFonts w:ascii="等线" w:eastAsia="等线" w:hAnsi="Times New Roman"/>
          <w:color w:val="000000"/>
        </w:rPr>
      </w:pPr>
      <w:r w:rsidRPr="0076330D">
        <w:rPr>
          <w:rFonts w:ascii="等线" w:eastAsia="等线" w:hAnsi="Times New Roman"/>
          <w:color w:val="000000"/>
        </w:rPr>
        <w:t>Admitted to practice in the PRC</w:t>
      </w:r>
    </w:p>
    <w:p w14:paraId="7A429A08" w14:textId="77777777" w:rsidR="0076330D" w:rsidRDefault="0076330D" w:rsidP="0076330D">
      <w:pPr>
        <w:pStyle w:val="af5"/>
        <w:spacing w:after="0" w:line="480" w:lineRule="auto"/>
        <w:rPr>
          <w:rFonts w:ascii="等线" w:eastAsia="等线" w:hAnsi="等线"/>
          <w:b/>
          <w:sz w:val="24"/>
        </w:rPr>
      </w:pPr>
      <w:r w:rsidRPr="0076330D">
        <w:rPr>
          <w:rFonts w:ascii="等线" w:eastAsia="等线" w:hAnsi="等线"/>
          <w:b/>
          <w:sz w:val="24"/>
        </w:rPr>
        <w:t>Work Language</w:t>
      </w:r>
    </w:p>
    <w:p w14:paraId="7764F395" w14:textId="77777777" w:rsidR="0076330D" w:rsidRDefault="0076330D" w:rsidP="0076330D">
      <w:pPr>
        <w:pStyle w:val="af5"/>
        <w:numPr>
          <w:ilvl w:val="0"/>
          <w:numId w:val="25"/>
        </w:numPr>
        <w:spacing w:before="120"/>
        <w:ind w:left="690" w:hanging="240"/>
        <w:rPr>
          <w:rFonts w:ascii="等线" w:eastAsia="等线" w:hAnsi="Times New Roman"/>
          <w:color w:val="000000"/>
        </w:rPr>
      </w:pPr>
      <w:r w:rsidRPr="0076330D">
        <w:rPr>
          <w:rFonts w:ascii="等线" w:eastAsia="等线" w:hAnsi="Times New Roman"/>
          <w:color w:val="000000"/>
        </w:rPr>
        <w:t>Chinese</w:t>
      </w:r>
    </w:p>
    <w:p w14:paraId="1954E3D8" w14:textId="77777777" w:rsidR="0076330D" w:rsidRDefault="0076330D" w:rsidP="0076330D">
      <w:pPr>
        <w:pStyle w:val="af5"/>
        <w:numPr>
          <w:ilvl w:val="0"/>
          <w:numId w:val="26"/>
        </w:numPr>
        <w:spacing w:before="120"/>
        <w:ind w:left="690" w:hanging="240"/>
        <w:rPr>
          <w:rFonts w:ascii="等线" w:eastAsia="等线" w:hAnsi="Times New Roman"/>
          <w:color w:val="000000"/>
        </w:rPr>
      </w:pPr>
      <w:r w:rsidRPr="0076330D">
        <w:rPr>
          <w:rFonts w:ascii="等线" w:eastAsia="等线" w:hAnsi="Times New Roman"/>
          <w:color w:val="000000"/>
        </w:rPr>
        <w:t>English</w:t>
      </w:r>
    </w:p>
    <w:p w14:paraId="048E3260" w14:textId="77777777" w:rsidR="0076330D" w:rsidRDefault="0076330D" w:rsidP="0076330D">
      <w:pPr>
        <w:pStyle w:val="af5"/>
        <w:spacing w:after="0" w:line="480" w:lineRule="auto"/>
        <w:rPr>
          <w:rFonts w:ascii="等线" w:eastAsia="等线" w:hAnsi="等线"/>
          <w:b/>
          <w:sz w:val="24"/>
        </w:rPr>
      </w:pPr>
      <w:r w:rsidRPr="0076330D">
        <w:rPr>
          <w:rFonts w:ascii="等线" w:eastAsia="等线" w:hAnsi="等线"/>
          <w:b/>
          <w:sz w:val="24"/>
        </w:rPr>
        <w:t>Professional Background</w:t>
      </w:r>
    </w:p>
    <w:p w14:paraId="5567FC3C" w14:textId="5E2F46F1" w:rsidR="00686369" w:rsidRPr="0076330D" w:rsidRDefault="0076330D" w:rsidP="0076330D">
      <w:pPr>
        <w:pStyle w:val="af5"/>
        <w:numPr>
          <w:ilvl w:val="0"/>
          <w:numId w:val="27"/>
        </w:numPr>
        <w:spacing w:before="120"/>
        <w:ind w:left="690" w:hanging="240"/>
        <w:rPr>
          <w:rFonts w:ascii="等线" w:eastAsia="等线" w:hAnsi="Times New Roman"/>
          <w:color w:val="000000"/>
        </w:rPr>
      </w:pPr>
      <w:r w:rsidRPr="0076330D">
        <w:rPr>
          <w:rFonts w:ascii="等线" w:eastAsia="等线" w:hAnsi="Times New Roman"/>
          <w:color w:val="000000"/>
        </w:rPr>
        <w:t>Ms. Huang joined Fangda in 2014. Before joining the firm, she worked at a major law firm in China and an international law firm in New York.</w:t>
      </w:r>
    </w:p>
    <w:sectPr w:rsidR="00686369" w:rsidRPr="007633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79A"/>
    <w:multiLevelType w:val="singleLevel"/>
    <w:tmpl w:val="74A07C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7116A3"/>
    <w:multiLevelType w:val="singleLevel"/>
    <w:tmpl w:val="7B7E35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35334B"/>
    <w:multiLevelType w:val="singleLevel"/>
    <w:tmpl w:val="50727B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77319F"/>
    <w:multiLevelType w:val="singleLevel"/>
    <w:tmpl w:val="BCF0DD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335A80"/>
    <w:multiLevelType w:val="singleLevel"/>
    <w:tmpl w:val="D2DE18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7B22F0"/>
    <w:multiLevelType w:val="singleLevel"/>
    <w:tmpl w:val="FCB8D6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C34EF8"/>
    <w:multiLevelType w:val="singleLevel"/>
    <w:tmpl w:val="623ABF8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0B761F"/>
    <w:multiLevelType w:val="singleLevel"/>
    <w:tmpl w:val="3F7CC2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CF14440"/>
    <w:multiLevelType w:val="singleLevel"/>
    <w:tmpl w:val="F864C8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D04745"/>
    <w:multiLevelType w:val="singleLevel"/>
    <w:tmpl w:val="294A42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57636E"/>
    <w:multiLevelType w:val="singleLevel"/>
    <w:tmpl w:val="D932F1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5A0F42"/>
    <w:multiLevelType w:val="singleLevel"/>
    <w:tmpl w:val="577470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60160A1"/>
    <w:multiLevelType w:val="singleLevel"/>
    <w:tmpl w:val="0FC096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B62D90"/>
    <w:multiLevelType w:val="singleLevel"/>
    <w:tmpl w:val="397222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858788F"/>
    <w:multiLevelType w:val="singleLevel"/>
    <w:tmpl w:val="749872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9B6E95"/>
    <w:multiLevelType w:val="singleLevel"/>
    <w:tmpl w:val="AD80B19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4035EE"/>
    <w:multiLevelType w:val="singleLevel"/>
    <w:tmpl w:val="2B32A0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CFF7C16"/>
    <w:multiLevelType w:val="singleLevel"/>
    <w:tmpl w:val="8EFE08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E14A93"/>
    <w:multiLevelType w:val="singleLevel"/>
    <w:tmpl w:val="B4189EC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23E2361"/>
    <w:multiLevelType w:val="singleLevel"/>
    <w:tmpl w:val="CB8C2E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5B4779"/>
    <w:multiLevelType w:val="singleLevel"/>
    <w:tmpl w:val="90FA510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26010BE"/>
    <w:multiLevelType w:val="singleLevel"/>
    <w:tmpl w:val="9ED4A6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9214666"/>
    <w:multiLevelType w:val="singleLevel"/>
    <w:tmpl w:val="8962F9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AC123D6"/>
    <w:multiLevelType w:val="singleLevel"/>
    <w:tmpl w:val="36DC26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C87755"/>
    <w:multiLevelType w:val="singleLevel"/>
    <w:tmpl w:val="AD80B19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15"/>
  </w:num>
  <w:num w:numId="4">
    <w:abstractNumId w:val="5"/>
  </w:num>
  <w:num w:numId="5">
    <w:abstractNumId w:val="0"/>
  </w:num>
  <w:num w:numId="6">
    <w:abstractNumId w:val="3"/>
  </w:num>
  <w:num w:numId="7">
    <w:abstractNumId w:val="10"/>
  </w:num>
  <w:num w:numId="8">
    <w:abstractNumId w:val="4"/>
  </w:num>
  <w:num w:numId="9">
    <w:abstractNumId w:val="23"/>
  </w:num>
  <w:num w:numId="10">
    <w:abstractNumId w:val="1"/>
  </w:num>
  <w:num w:numId="11">
    <w:abstractNumId w:val="14"/>
  </w:num>
  <w:num w:numId="12">
    <w:abstractNumId w:val="18"/>
  </w:num>
  <w:num w:numId="13">
    <w:abstractNumId w:val="11"/>
  </w:num>
  <w:num w:numId="14">
    <w:abstractNumId w:val="19"/>
  </w:num>
  <w:num w:numId="15">
    <w:abstractNumId w:val="6"/>
  </w:num>
  <w:num w:numId="16">
    <w:abstractNumId w:val="21"/>
  </w:num>
  <w:num w:numId="17">
    <w:abstractNumId w:val="13"/>
  </w:num>
  <w:num w:numId="18">
    <w:abstractNumId w:val="7"/>
  </w:num>
  <w:num w:numId="19">
    <w:abstractNumId w:val="2"/>
  </w:num>
  <w:num w:numId="20">
    <w:abstractNumId w:val="20"/>
  </w:num>
  <w:num w:numId="21">
    <w:abstractNumId w:val="8"/>
  </w:num>
  <w:num w:numId="22">
    <w:abstractNumId w:val="24"/>
  </w:num>
  <w:num w:numId="23">
    <w:abstractNumId w:val="16"/>
  </w:num>
  <w:num w:numId="24">
    <w:abstractNumId w:val="25"/>
  </w:num>
  <w:num w:numId="25">
    <w:abstractNumId w:val="22"/>
  </w:num>
  <w:num w:numId="26">
    <w:abstractNumId w:val="17"/>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330D"/>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6330D"/>
    <w:pPr>
      <w:spacing w:after="120"/>
    </w:pPr>
  </w:style>
  <w:style w:type="character" w:customStyle="1" w:styleId="af6">
    <w:name w:val="正文文本 字符"/>
    <w:basedOn w:val="a0"/>
    <w:link w:val="af5"/>
    <w:uiPriority w:val="99"/>
    <w:rsid w:val="007633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86D70-F913-44E6-8D68-BA2E4F972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555</Words>
  <Characters>3164</Characters>
  <Application>Microsoft Office Word</Application>
  <DocSecurity>0</DocSecurity>
  <Lines>26</Lines>
  <Paragraphs>7</Paragraphs>
  <ScaleCrop>false</ScaleCrop>
  <Company/>
  <LinksUpToDate>false</LinksUpToDate>
  <CharactersWithSpaces>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2026-07-16T15:57:00Z</dcterms:created>
  <dcterms:modified xsi:type="dcterms:W3CDTF">2026-07-16T15:57:00Z</dcterms:modified>
</cp:coreProperties>
</file>