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61A1A9A" w:rsidR="0049405C" w:rsidRPr="00C24D79" w:rsidRDefault="0007264F" w:rsidP="0007264F">
            <w:pPr>
              <w:spacing w:line="720" w:lineRule="auto"/>
              <w:rPr>
                <w:rFonts w:eastAsiaTheme="minorHAnsi"/>
                <w:color w:val="545551"/>
              </w:rPr>
            </w:pPr>
            <w:bookmarkStart w:id="0" w:name="xingming"/>
            <w:bookmarkStart w:id="1" w:name="_GoBack"/>
            <w:bookmarkEnd w:id="1"/>
            <w:r w:rsidRPr="0007264F">
              <w:rPr>
                <w:rFonts w:ascii="等线" w:eastAsia="等线" w:hAnsi="Times New Roman"/>
                <w:b/>
                <w:color w:val="000000"/>
                <w:sz w:val="48"/>
              </w:rPr>
              <w:t>CANDY TANG</w:t>
            </w:r>
            <w:bookmarkEnd w:id="0"/>
          </w:p>
          <w:p w14:paraId="706EB16B" w14:textId="227B63FC" w:rsidR="0049405C" w:rsidRPr="00C24D79" w:rsidRDefault="0007264F" w:rsidP="0007264F">
            <w:pPr>
              <w:spacing w:line="360" w:lineRule="auto"/>
              <w:rPr>
                <w:rFonts w:eastAsiaTheme="minorHAnsi"/>
                <w:b/>
                <w:bCs/>
                <w:color w:val="545551"/>
              </w:rPr>
            </w:pPr>
            <w:bookmarkStart w:id="2" w:name="didian"/>
            <w:r w:rsidRPr="0007264F">
              <w:rPr>
                <w:rFonts w:ascii="等线" w:eastAsia="等线" w:hAnsi="Times New Roman"/>
                <w:b/>
                <w:bCs/>
                <w:color w:val="000000"/>
              </w:rPr>
              <w:t>Partner</w:t>
            </w:r>
            <w:r w:rsidRPr="0007264F">
              <w:rPr>
                <w:rFonts w:ascii="等线" w:eastAsia="等线" w:hAnsi="Times New Roman"/>
                <w:b/>
                <w:bCs/>
                <w:color w:val="000000"/>
              </w:rPr>
              <w:t>·</w:t>
            </w:r>
            <w:r w:rsidRPr="0007264F">
              <w:rPr>
                <w:rFonts w:ascii="等线" w:eastAsia="等线" w:hAnsi="Times New Roman"/>
                <w:b/>
                <w:bCs/>
                <w:color w:val="000000"/>
              </w:rPr>
              <w:t>Shanghai</w:t>
            </w:r>
            <w:bookmarkEnd w:id="2"/>
          </w:p>
          <w:p w14:paraId="6199424A" w14:textId="72B76C72" w:rsidR="0049405C" w:rsidRPr="00C24D79" w:rsidRDefault="0007264F" w:rsidP="0007264F">
            <w:pPr>
              <w:spacing w:line="360" w:lineRule="auto"/>
              <w:rPr>
                <w:rFonts w:eastAsiaTheme="minorHAnsi"/>
                <w:color w:val="545551"/>
              </w:rPr>
            </w:pPr>
            <w:bookmarkStart w:id="3" w:name="dianhua"/>
            <w:r w:rsidRPr="0007264F">
              <w:rPr>
                <w:rFonts w:ascii="等线" w:eastAsia="等线" w:hAnsi="Times New Roman"/>
                <w:color w:val="000000"/>
              </w:rPr>
              <w:t xml:space="preserve">+86 21 2208 1116 </w:t>
            </w:r>
            <w:bookmarkEnd w:id="3"/>
          </w:p>
          <w:p w14:paraId="4F910ACA" w14:textId="01C85092" w:rsidR="0049405C" w:rsidRPr="00C24D79" w:rsidRDefault="0007264F" w:rsidP="0007264F">
            <w:pPr>
              <w:spacing w:line="360" w:lineRule="auto"/>
              <w:rPr>
                <w:rFonts w:eastAsiaTheme="minorHAnsi"/>
                <w:color w:val="000000"/>
              </w:rPr>
            </w:pPr>
            <w:bookmarkStart w:id="4" w:name="youxiang"/>
            <w:r w:rsidRPr="0007264F">
              <w:rPr>
                <w:rFonts w:ascii="等线" w:eastAsia="等线" w:hAnsi="Times New Roman"/>
                <w:color w:val="000000"/>
              </w:rPr>
              <w:t>ctang@fangdalaw.com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C2E61D1" w:rsidR="0049405C" w:rsidRPr="00C24D79" w:rsidRDefault="0007264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A6B63E5" wp14:editId="6145233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CC7ADF4" w:rsidR="009465FB" w:rsidRPr="00C24D79" w:rsidRDefault="0007264F" w:rsidP="007177F3">
            <w:pPr>
              <w:rPr>
                <w:rFonts w:eastAsiaTheme="minorHAnsi"/>
                <w:color w:val="000000"/>
                <w:szCs w:val="21"/>
              </w:rPr>
            </w:pPr>
            <w:bookmarkStart w:id="6" w:name="zhiyelingyu"/>
            <w:r w:rsidRPr="0007264F">
              <w:rPr>
                <w:rFonts w:ascii="等线" w:eastAsia="等线" w:hAnsi="Times New Roman"/>
                <w:color w:val="000000"/>
                <w:szCs w:val="21"/>
              </w:rPr>
              <w:t>MS. TANG, JIEREN SPECIALIZES IN PRIVATE FUND FORMATION AND COMPLIANCE, ASSET MANAGEMENT AND FINANCIAL INNOVATION, BANKING FINANCE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2B8633" w14:textId="77777777" w:rsidR="0007264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A510AFC" w14:textId="77777777" w:rsidR="0007264F" w:rsidRDefault="0007264F" w:rsidP="0007264F">
      <w:pPr>
        <w:pStyle w:val="af5"/>
        <w:spacing w:before="120"/>
        <w:rPr>
          <w:rFonts w:ascii="等线" w:eastAsia="等线" w:hAnsi="Times New Roman"/>
          <w:color w:val="000000"/>
        </w:rPr>
      </w:pPr>
      <w:r w:rsidRPr="0007264F">
        <w:rPr>
          <w:rFonts w:ascii="等线" w:eastAsia="等线" w:hAnsi="Times New Roman"/>
          <w:color w:val="000000"/>
        </w:rPr>
        <w:t>Ms. Candy Tang was named Next Generation Lawyers in the practice of Investment Funds in the Asia Pacific Name List promulgated by the Legal 500 in year 2019, 2020 and 2021.</w:t>
      </w:r>
    </w:p>
    <w:p w14:paraId="42E40704" w14:textId="77777777" w:rsidR="0007264F" w:rsidRDefault="0007264F" w:rsidP="0007264F">
      <w:pPr>
        <w:pStyle w:val="af5"/>
        <w:spacing w:after="0" w:line="480" w:lineRule="auto"/>
        <w:rPr>
          <w:rFonts w:ascii="等线" w:eastAsia="等线" w:hAnsi="等线"/>
          <w:b/>
          <w:sz w:val="24"/>
        </w:rPr>
      </w:pPr>
      <w:r w:rsidRPr="0007264F">
        <w:rPr>
          <w:rFonts w:ascii="等线" w:eastAsia="等线" w:hAnsi="等线"/>
          <w:b/>
          <w:sz w:val="24"/>
        </w:rPr>
        <w:t>REPRESENTATIVE MATTERS AND CASES</w:t>
      </w:r>
    </w:p>
    <w:p w14:paraId="3DE007E9" w14:textId="77777777" w:rsidR="0007264F" w:rsidRDefault="0007264F" w:rsidP="0007264F">
      <w:pPr>
        <w:pStyle w:val="af5"/>
        <w:spacing w:before="120"/>
        <w:rPr>
          <w:rFonts w:ascii="等线" w:eastAsia="等线" w:hAnsi="Times New Roman"/>
          <w:color w:val="000000"/>
        </w:rPr>
      </w:pPr>
      <w:r w:rsidRPr="0007264F">
        <w:rPr>
          <w:rFonts w:ascii="等线" w:eastAsia="等线" w:hAnsi="Times New Roman"/>
          <w:color w:val="000000"/>
        </w:rPr>
        <w:t>Private Fund Formation And Compliance</w:t>
      </w:r>
    </w:p>
    <w:p w14:paraId="0D21BC16" w14:textId="77777777" w:rsidR="0007264F" w:rsidRDefault="0007264F" w:rsidP="0007264F">
      <w:pPr>
        <w:pStyle w:val="af5"/>
        <w:numPr>
          <w:ilvl w:val="0"/>
          <w:numId w:val="4"/>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CICC Capital in connection with the structuring and formation of its several RMB funds</w:t>
      </w:r>
    </w:p>
    <w:p w14:paraId="7E6B3C18" w14:textId="77777777" w:rsidR="0007264F" w:rsidRDefault="0007264F" w:rsidP="0007264F">
      <w:pPr>
        <w:pStyle w:val="af5"/>
        <w:numPr>
          <w:ilvl w:val="0"/>
          <w:numId w:val="5"/>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Canada Power Corporation for its formation of wholly foreign owned Private Securities Fund Manager (PFM)</w:t>
      </w:r>
    </w:p>
    <w:p w14:paraId="067813B2" w14:textId="77777777" w:rsidR="0007264F" w:rsidRDefault="0007264F" w:rsidP="0007264F">
      <w:pPr>
        <w:pStyle w:val="af5"/>
        <w:numPr>
          <w:ilvl w:val="0"/>
          <w:numId w:val="6"/>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GGV Capital for the formation of its RMB Fund II</w:t>
      </w:r>
    </w:p>
    <w:p w14:paraId="570B1829" w14:textId="77777777" w:rsidR="0007264F" w:rsidRDefault="0007264F" w:rsidP="0007264F">
      <w:pPr>
        <w:pStyle w:val="af5"/>
        <w:numPr>
          <w:ilvl w:val="0"/>
          <w:numId w:val="7"/>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Fourriviers for the formation of Fourrivers Steel Industry Fund and bankruptcy reorganization of Chongqing Steel</w:t>
      </w:r>
    </w:p>
    <w:p w14:paraId="569A95E4" w14:textId="77777777" w:rsidR="0007264F" w:rsidRDefault="0007264F" w:rsidP="0007264F">
      <w:pPr>
        <w:pStyle w:val="af5"/>
        <w:numPr>
          <w:ilvl w:val="0"/>
          <w:numId w:val="8"/>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Everbright for the formation of its RMB Fund III</w:t>
      </w:r>
    </w:p>
    <w:p w14:paraId="7DF24E69" w14:textId="77777777" w:rsidR="0007264F" w:rsidRDefault="0007264F" w:rsidP="0007264F">
      <w:pPr>
        <w:pStyle w:val="af5"/>
        <w:numPr>
          <w:ilvl w:val="0"/>
          <w:numId w:val="9"/>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Ant Financial for the formation of or investment in certain RMB funds</w:t>
      </w:r>
    </w:p>
    <w:p w14:paraId="795AC9B3" w14:textId="77777777" w:rsidR="0007264F" w:rsidRDefault="0007264F" w:rsidP="0007264F">
      <w:pPr>
        <w:pStyle w:val="af5"/>
        <w:numPr>
          <w:ilvl w:val="0"/>
          <w:numId w:val="10"/>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Cainiao Network for the formation of Renminb logistics and storage fund with China Life as the major investor</w:t>
      </w:r>
    </w:p>
    <w:p w14:paraId="13CDA9A6" w14:textId="77777777" w:rsidR="0007264F" w:rsidRDefault="0007264F" w:rsidP="0007264F">
      <w:pPr>
        <w:pStyle w:val="af5"/>
        <w:numPr>
          <w:ilvl w:val="0"/>
          <w:numId w:val="11"/>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China Life for the formation of Renminbi flagship healthcare industry fund</w:t>
      </w:r>
    </w:p>
    <w:p w14:paraId="053FE476" w14:textId="77777777" w:rsidR="0007264F" w:rsidRDefault="0007264F" w:rsidP="0007264F">
      <w:pPr>
        <w:pStyle w:val="af5"/>
        <w:numPr>
          <w:ilvl w:val="0"/>
          <w:numId w:val="12"/>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TPG in connection with the structuring and formation of its two RMB funds and one QFLP fund, structuring of downstream investments by the RMB funds and daily operations of the funds</w:t>
      </w:r>
    </w:p>
    <w:p w14:paraId="08B8853A" w14:textId="77777777" w:rsidR="0007264F" w:rsidRDefault="0007264F" w:rsidP="0007264F">
      <w:pPr>
        <w:pStyle w:val="af5"/>
        <w:numPr>
          <w:ilvl w:val="0"/>
          <w:numId w:val="13"/>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Blackstone in connection with daily operations of its QFLP fund</w:t>
      </w:r>
    </w:p>
    <w:p w14:paraId="4839CE41" w14:textId="77777777" w:rsidR="0007264F" w:rsidRDefault="0007264F" w:rsidP="0007264F">
      <w:pPr>
        <w:pStyle w:val="af5"/>
        <w:numPr>
          <w:ilvl w:val="0"/>
          <w:numId w:val="14"/>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Yunfeng Capital in connection with the structuring and formation of its several RMB funds and several special purpose funds and daily operations of the funds</w:t>
      </w:r>
    </w:p>
    <w:p w14:paraId="234BF35F" w14:textId="77777777" w:rsidR="0007264F" w:rsidRDefault="0007264F" w:rsidP="0007264F">
      <w:pPr>
        <w:pStyle w:val="af5"/>
        <w:numPr>
          <w:ilvl w:val="0"/>
          <w:numId w:val="15"/>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Oriza in connection with the structuring and formation of its relevant RMB funds and daily operations of Oriza regarding its onshore or offshore funds and their respective downstream investments</w:t>
      </w:r>
    </w:p>
    <w:p w14:paraId="6F303388" w14:textId="77777777" w:rsidR="0007264F" w:rsidRDefault="0007264F" w:rsidP="0007264F">
      <w:pPr>
        <w:pStyle w:val="af5"/>
        <w:numPr>
          <w:ilvl w:val="0"/>
          <w:numId w:val="16"/>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CCB Life AMC in connection with its downstream direct or indirect investments and its daily operations</w:t>
      </w:r>
    </w:p>
    <w:p w14:paraId="20820E63" w14:textId="77777777" w:rsidR="0007264F" w:rsidRDefault="0007264F" w:rsidP="0007264F">
      <w:pPr>
        <w:pStyle w:val="af5"/>
        <w:spacing w:before="120"/>
        <w:rPr>
          <w:rFonts w:ascii="等线" w:eastAsia="等线" w:hAnsi="Times New Roman"/>
          <w:color w:val="000000"/>
        </w:rPr>
      </w:pPr>
      <w:r w:rsidRPr="0007264F">
        <w:rPr>
          <w:rFonts w:ascii="等线" w:eastAsia="等线" w:hAnsi="Times New Roman"/>
          <w:color w:val="000000"/>
        </w:rPr>
        <w:t>Asset management And Financial Innovation</w:t>
      </w:r>
    </w:p>
    <w:p w14:paraId="7233F653" w14:textId="77777777" w:rsidR="0007264F" w:rsidRDefault="0007264F" w:rsidP="0007264F">
      <w:pPr>
        <w:pStyle w:val="af5"/>
        <w:numPr>
          <w:ilvl w:val="0"/>
          <w:numId w:val="17"/>
        </w:numPr>
        <w:spacing w:before="120"/>
        <w:ind w:left="690" w:hanging="240"/>
        <w:rPr>
          <w:rFonts w:ascii="等线" w:eastAsia="等线" w:hAnsi="Times New Roman"/>
          <w:color w:val="000000"/>
        </w:rPr>
      </w:pPr>
      <w:r w:rsidRPr="0007264F">
        <w:rPr>
          <w:rFonts w:ascii="等线" w:eastAsia="等线" w:hAnsi="Times New Roman"/>
          <w:color w:val="000000"/>
        </w:rPr>
        <w:t xml:space="preserve">Provided legal services in connection with the Orient Securities Assets Management </w:t>
      </w:r>
      <w:r w:rsidRPr="0007264F">
        <w:rPr>
          <w:rFonts w:ascii="等线" w:eastAsia="等线" w:hAnsi="Times New Roman"/>
          <w:color w:val="000000"/>
        </w:rPr>
        <w:t>–</w:t>
      </w:r>
      <w:r w:rsidRPr="0007264F">
        <w:rPr>
          <w:rFonts w:ascii="等线" w:eastAsia="等线" w:hAnsi="Times New Roman"/>
          <w:color w:val="000000"/>
        </w:rPr>
        <w:t xml:space="preserve"> Alibaba micro-credit assets securitization project</w:t>
      </w:r>
    </w:p>
    <w:p w14:paraId="720B66FB" w14:textId="77777777" w:rsidR="0007264F" w:rsidRDefault="0007264F" w:rsidP="0007264F">
      <w:pPr>
        <w:pStyle w:val="af5"/>
        <w:numPr>
          <w:ilvl w:val="0"/>
          <w:numId w:val="18"/>
        </w:numPr>
        <w:spacing w:before="120"/>
        <w:ind w:left="690" w:hanging="240"/>
        <w:rPr>
          <w:rFonts w:ascii="等线" w:eastAsia="等线" w:hAnsi="Times New Roman"/>
          <w:color w:val="000000"/>
        </w:rPr>
      </w:pPr>
      <w:r w:rsidRPr="0007264F">
        <w:rPr>
          <w:rFonts w:ascii="等线" w:eastAsia="等线" w:hAnsi="Times New Roman"/>
          <w:color w:val="000000"/>
        </w:rPr>
        <w:t xml:space="preserve">Provided legal services in connection with the Orient Securities Assets Management </w:t>
      </w:r>
      <w:r w:rsidRPr="0007264F">
        <w:rPr>
          <w:rFonts w:ascii="等线" w:eastAsia="等线" w:hAnsi="Times New Roman"/>
          <w:color w:val="000000"/>
        </w:rPr>
        <w:t>–</w:t>
      </w:r>
      <w:r w:rsidRPr="0007264F">
        <w:rPr>
          <w:rFonts w:ascii="等线" w:eastAsia="等线" w:hAnsi="Times New Roman"/>
          <w:color w:val="000000"/>
        </w:rPr>
        <w:t xml:space="preserve"> Anji Lease auto financing lease creditor</w:t>
      </w:r>
      <w:r w:rsidRPr="0007264F">
        <w:rPr>
          <w:rFonts w:ascii="等线" w:eastAsia="等线" w:hAnsi="Times New Roman"/>
          <w:color w:val="000000"/>
        </w:rPr>
        <w:t>’</w:t>
      </w:r>
      <w:r w:rsidRPr="0007264F">
        <w:rPr>
          <w:rFonts w:ascii="等线" w:eastAsia="等线" w:hAnsi="Times New Roman"/>
          <w:color w:val="000000"/>
        </w:rPr>
        <w:t>s right securitization project</w:t>
      </w:r>
    </w:p>
    <w:p w14:paraId="69A0BA58" w14:textId="77777777" w:rsidR="0007264F" w:rsidRDefault="0007264F" w:rsidP="0007264F">
      <w:pPr>
        <w:pStyle w:val="af5"/>
        <w:numPr>
          <w:ilvl w:val="0"/>
          <w:numId w:val="19"/>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UBSS in connection with its asset management business</w:t>
      </w:r>
    </w:p>
    <w:p w14:paraId="05C79DCD" w14:textId="77777777" w:rsidR="0007264F" w:rsidRDefault="0007264F" w:rsidP="0007264F">
      <w:pPr>
        <w:pStyle w:val="af5"/>
        <w:numPr>
          <w:ilvl w:val="0"/>
          <w:numId w:val="20"/>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Scotiabank in connection with the asset management business engaged by its PRC subsidiaries</w:t>
      </w:r>
    </w:p>
    <w:p w14:paraId="4B545183" w14:textId="77777777" w:rsidR="0007264F" w:rsidRDefault="0007264F" w:rsidP="0007264F">
      <w:pPr>
        <w:pStyle w:val="af5"/>
        <w:numPr>
          <w:ilvl w:val="0"/>
          <w:numId w:val="21"/>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Alibaba in connection with its formation of internet financial asset exchange with other business partners</w:t>
      </w:r>
    </w:p>
    <w:p w14:paraId="0CAB8F1C" w14:textId="77777777" w:rsidR="0007264F" w:rsidRDefault="0007264F" w:rsidP="0007264F">
      <w:pPr>
        <w:pStyle w:val="af5"/>
        <w:numPr>
          <w:ilvl w:val="0"/>
          <w:numId w:val="22"/>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Pudong FSO in connection with formation of comprehensive asset management platform</w:t>
      </w:r>
    </w:p>
    <w:p w14:paraId="7F908151" w14:textId="77777777" w:rsidR="0007264F" w:rsidRDefault="0007264F" w:rsidP="0007264F">
      <w:pPr>
        <w:pStyle w:val="af5"/>
        <w:numPr>
          <w:ilvl w:val="0"/>
          <w:numId w:val="23"/>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an international well-known bank card clearance institution in connection with its application for BCCI license</w:t>
      </w:r>
    </w:p>
    <w:p w14:paraId="3AC4A145" w14:textId="77777777" w:rsidR="0007264F" w:rsidRDefault="0007264F" w:rsidP="0007264F">
      <w:pPr>
        <w:pStyle w:val="af5"/>
        <w:numPr>
          <w:ilvl w:val="0"/>
          <w:numId w:val="24"/>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an international well-known distress fund in its proposed investment in onshore non-performing assets</w:t>
      </w:r>
    </w:p>
    <w:p w14:paraId="5D1D5460" w14:textId="77777777" w:rsidR="0007264F" w:rsidRDefault="0007264F" w:rsidP="0007264F">
      <w:pPr>
        <w:pStyle w:val="af5"/>
        <w:spacing w:before="120"/>
        <w:rPr>
          <w:rFonts w:ascii="等线" w:eastAsia="等线" w:hAnsi="Times New Roman"/>
          <w:color w:val="000000"/>
        </w:rPr>
      </w:pPr>
      <w:r w:rsidRPr="0007264F">
        <w:rPr>
          <w:rFonts w:ascii="等线" w:eastAsia="等线" w:hAnsi="Times New Roman"/>
          <w:color w:val="000000"/>
        </w:rPr>
        <w:t>Banking Finance And General Corporate</w:t>
      </w:r>
    </w:p>
    <w:p w14:paraId="4305E83C" w14:textId="77777777" w:rsidR="0007264F" w:rsidRDefault="0007264F" w:rsidP="0007264F">
      <w:pPr>
        <w:pStyle w:val="af5"/>
        <w:numPr>
          <w:ilvl w:val="0"/>
          <w:numId w:val="25"/>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CCB (acting as arranger) in the syndication facility for Shanghai Pudong Kerry Center Project</w:t>
      </w:r>
    </w:p>
    <w:p w14:paraId="44D6ABBC" w14:textId="77777777" w:rsidR="0007264F" w:rsidRDefault="0007264F" w:rsidP="0007264F">
      <w:pPr>
        <w:pStyle w:val="af5"/>
        <w:numPr>
          <w:ilvl w:val="0"/>
          <w:numId w:val="26"/>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ICBC (acting as arranger) in the syndication facility for Shanghai Jing</w:t>
      </w:r>
      <w:r w:rsidRPr="0007264F">
        <w:rPr>
          <w:rFonts w:ascii="等线" w:eastAsia="等线" w:hAnsi="Times New Roman"/>
          <w:color w:val="000000"/>
        </w:rPr>
        <w:t>’</w:t>
      </w:r>
      <w:r w:rsidRPr="0007264F">
        <w:rPr>
          <w:rFonts w:ascii="等线" w:eastAsia="等线" w:hAnsi="Times New Roman"/>
          <w:color w:val="000000"/>
        </w:rPr>
        <w:t>An Kerry Center Project</w:t>
      </w:r>
    </w:p>
    <w:p w14:paraId="66861E1C" w14:textId="77777777" w:rsidR="0007264F" w:rsidRDefault="0007264F" w:rsidP="0007264F">
      <w:pPr>
        <w:pStyle w:val="af5"/>
        <w:numPr>
          <w:ilvl w:val="0"/>
          <w:numId w:val="27"/>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Citibank (acting as agent) in the syndication facility for FerroChina</w:t>
      </w:r>
    </w:p>
    <w:p w14:paraId="3378E32B" w14:textId="77777777" w:rsidR="0007264F" w:rsidRDefault="0007264F" w:rsidP="0007264F">
      <w:pPr>
        <w:pStyle w:val="af5"/>
        <w:numPr>
          <w:ilvl w:val="0"/>
          <w:numId w:val="28"/>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Alibaba in the banking financing, management finance or structuring finance in the various acquisition projects</w:t>
      </w:r>
    </w:p>
    <w:p w14:paraId="58EB80DA" w14:textId="77777777" w:rsidR="0007264F" w:rsidRDefault="0007264F" w:rsidP="0007264F">
      <w:pPr>
        <w:pStyle w:val="af5"/>
        <w:numPr>
          <w:ilvl w:val="0"/>
          <w:numId w:val="29"/>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Focus Media in the acquisition financing and various financing and security arrangements regarding its onshore restructuring</w:t>
      </w:r>
    </w:p>
    <w:p w14:paraId="79C5BCB3" w14:textId="77777777" w:rsidR="0007264F" w:rsidRDefault="0007264F" w:rsidP="0007264F">
      <w:pPr>
        <w:pStyle w:val="af5"/>
        <w:numPr>
          <w:ilvl w:val="0"/>
          <w:numId w:val="30"/>
        </w:numPr>
        <w:spacing w:before="120"/>
        <w:ind w:left="690" w:hanging="240"/>
        <w:rPr>
          <w:rFonts w:ascii="等线" w:eastAsia="等线" w:hAnsi="Times New Roman"/>
          <w:color w:val="000000"/>
        </w:rPr>
      </w:pPr>
      <w:r w:rsidRPr="0007264F">
        <w:rPr>
          <w:rFonts w:ascii="等线" w:eastAsia="等线" w:hAnsi="Times New Roman"/>
          <w:color w:val="000000"/>
        </w:rPr>
        <w:t>Provided full scope legal services for Credit Suisse (acting as arranger) in the acquisition financing for Golden Concord Power from upfront legal due diligence regarding the acquisition project to acquisition financing transaction</w:t>
      </w:r>
    </w:p>
    <w:p w14:paraId="0715AA8B" w14:textId="77777777" w:rsidR="0007264F" w:rsidRDefault="0007264F" w:rsidP="0007264F">
      <w:pPr>
        <w:pStyle w:val="af5"/>
        <w:numPr>
          <w:ilvl w:val="0"/>
          <w:numId w:val="31"/>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Citibank (acting as agent) in participating in the bankruptcy restructuring procedures of FerroChina and claiming for creditors</w:t>
      </w:r>
      <w:r w:rsidRPr="0007264F">
        <w:rPr>
          <w:rFonts w:ascii="等线" w:eastAsia="等线" w:hAnsi="Times New Roman"/>
          <w:color w:val="000000"/>
        </w:rPr>
        <w:t>’</w:t>
      </w:r>
      <w:r w:rsidRPr="0007264F">
        <w:rPr>
          <w:rFonts w:ascii="等线" w:eastAsia="等线" w:hAnsi="Times New Roman"/>
          <w:color w:val="000000"/>
        </w:rPr>
        <w:t xml:space="preserve"> rights</w:t>
      </w:r>
    </w:p>
    <w:p w14:paraId="78A388E9" w14:textId="77777777" w:rsidR="0007264F" w:rsidRDefault="0007264F" w:rsidP="0007264F">
      <w:pPr>
        <w:pStyle w:val="af5"/>
        <w:numPr>
          <w:ilvl w:val="0"/>
          <w:numId w:val="32"/>
        </w:numPr>
        <w:spacing w:before="120"/>
        <w:ind w:left="690" w:hanging="240"/>
        <w:rPr>
          <w:rFonts w:ascii="等线" w:eastAsia="等线" w:hAnsi="Times New Roman"/>
          <w:color w:val="000000"/>
        </w:rPr>
      </w:pPr>
      <w:r w:rsidRPr="0007264F">
        <w:rPr>
          <w:rFonts w:ascii="等线" w:eastAsia="等线" w:hAnsi="Times New Roman"/>
          <w:color w:val="000000"/>
        </w:rPr>
        <w:t>Provided legal services for KPMG (acting as liquidator) in the liquidation of Titan PetroChemicals Group</w:t>
      </w:r>
    </w:p>
    <w:p w14:paraId="29D890A3" w14:textId="77777777" w:rsidR="0007264F" w:rsidRDefault="0007264F" w:rsidP="0007264F">
      <w:pPr>
        <w:pStyle w:val="af5"/>
        <w:spacing w:after="0" w:line="480" w:lineRule="auto"/>
        <w:rPr>
          <w:rFonts w:ascii="等线" w:eastAsia="等线" w:hAnsi="等线"/>
          <w:b/>
          <w:sz w:val="24"/>
        </w:rPr>
      </w:pPr>
      <w:r w:rsidRPr="0007264F">
        <w:rPr>
          <w:rFonts w:ascii="等线" w:eastAsia="等线" w:hAnsi="等线"/>
          <w:b/>
          <w:sz w:val="24"/>
        </w:rPr>
        <w:t>Education</w:t>
      </w:r>
    </w:p>
    <w:p w14:paraId="185FEC50" w14:textId="77777777" w:rsidR="0007264F" w:rsidRDefault="0007264F" w:rsidP="0007264F">
      <w:pPr>
        <w:pStyle w:val="af5"/>
        <w:numPr>
          <w:ilvl w:val="0"/>
          <w:numId w:val="33"/>
        </w:numPr>
        <w:spacing w:before="120"/>
        <w:ind w:left="690" w:hanging="240"/>
        <w:rPr>
          <w:rFonts w:ascii="等线" w:eastAsia="等线" w:hAnsi="Times New Roman"/>
          <w:color w:val="000000"/>
        </w:rPr>
      </w:pPr>
      <w:r w:rsidRPr="0007264F">
        <w:rPr>
          <w:rFonts w:ascii="等线" w:eastAsia="等线" w:hAnsi="Times New Roman"/>
          <w:color w:val="000000"/>
        </w:rPr>
        <w:t>New York University School of Law, LL.M.</w:t>
      </w:r>
    </w:p>
    <w:p w14:paraId="5246E09D" w14:textId="77777777" w:rsidR="0007264F" w:rsidRDefault="0007264F" w:rsidP="0007264F">
      <w:pPr>
        <w:pStyle w:val="af5"/>
        <w:numPr>
          <w:ilvl w:val="0"/>
          <w:numId w:val="34"/>
        </w:numPr>
        <w:spacing w:before="120"/>
        <w:ind w:left="690" w:hanging="240"/>
        <w:rPr>
          <w:rFonts w:ascii="等线" w:eastAsia="等线" w:hAnsi="Times New Roman"/>
          <w:color w:val="000000"/>
        </w:rPr>
      </w:pPr>
      <w:r w:rsidRPr="0007264F">
        <w:rPr>
          <w:rFonts w:ascii="等线" w:eastAsia="等线" w:hAnsi="Times New Roman"/>
          <w:color w:val="000000"/>
        </w:rPr>
        <w:t>Fudan University, School of Law, LL.B.</w:t>
      </w:r>
    </w:p>
    <w:p w14:paraId="79800323" w14:textId="77777777" w:rsidR="0007264F" w:rsidRDefault="0007264F" w:rsidP="0007264F">
      <w:pPr>
        <w:pStyle w:val="af5"/>
        <w:spacing w:after="0" w:line="480" w:lineRule="auto"/>
        <w:rPr>
          <w:rFonts w:ascii="等线" w:eastAsia="等线" w:hAnsi="等线"/>
          <w:b/>
          <w:sz w:val="24"/>
        </w:rPr>
      </w:pPr>
      <w:r w:rsidRPr="0007264F">
        <w:rPr>
          <w:rFonts w:ascii="等线" w:eastAsia="等线" w:hAnsi="等线"/>
          <w:b/>
          <w:sz w:val="24"/>
        </w:rPr>
        <w:t>Professional Qualification</w:t>
      </w:r>
    </w:p>
    <w:p w14:paraId="1D9DA0F5" w14:textId="77777777" w:rsidR="0007264F" w:rsidRDefault="0007264F" w:rsidP="0007264F">
      <w:pPr>
        <w:pStyle w:val="af5"/>
        <w:numPr>
          <w:ilvl w:val="0"/>
          <w:numId w:val="35"/>
        </w:numPr>
        <w:spacing w:before="120"/>
        <w:ind w:left="690" w:hanging="240"/>
        <w:rPr>
          <w:rFonts w:ascii="等线" w:eastAsia="等线" w:hAnsi="Times New Roman"/>
          <w:color w:val="000000"/>
        </w:rPr>
      </w:pPr>
      <w:r w:rsidRPr="0007264F">
        <w:rPr>
          <w:rFonts w:ascii="等线" w:eastAsia="等线" w:hAnsi="Times New Roman"/>
          <w:color w:val="000000"/>
        </w:rPr>
        <w:t>Admitted to practice in New York (2011)</w:t>
      </w:r>
    </w:p>
    <w:p w14:paraId="6D121E13" w14:textId="77777777" w:rsidR="0007264F" w:rsidRDefault="0007264F" w:rsidP="0007264F">
      <w:pPr>
        <w:pStyle w:val="af5"/>
        <w:numPr>
          <w:ilvl w:val="0"/>
          <w:numId w:val="36"/>
        </w:numPr>
        <w:spacing w:before="120"/>
        <w:ind w:left="690" w:hanging="240"/>
        <w:rPr>
          <w:rFonts w:ascii="等线" w:eastAsia="等线" w:hAnsi="Times New Roman"/>
          <w:color w:val="000000"/>
        </w:rPr>
      </w:pPr>
      <w:r w:rsidRPr="0007264F">
        <w:rPr>
          <w:rFonts w:ascii="等线" w:eastAsia="等线" w:hAnsi="Times New Roman"/>
          <w:color w:val="000000"/>
        </w:rPr>
        <w:t>Admitted to practice in the PRC (2006)</w:t>
      </w:r>
    </w:p>
    <w:p w14:paraId="3E6C447C" w14:textId="77777777" w:rsidR="0007264F" w:rsidRDefault="0007264F" w:rsidP="0007264F">
      <w:pPr>
        <w:pStyle w:val="af5"/>
        <w:spacing w:after="0" w:line="480" w:lineRule="auto"/>
        <w:rPr>
          <w:rFonts w:ascii="等线" w:eastAsia="等线" w:hAnsi="等线"/>
          <w:b/>
          <w:sz w:val="24"/>
        </w:rPr>
      </w:pPr>
      <w:r w:rsidRPr="0007264F">
        <w:rPr>
          <w:rFonts w:ascii="等线" w:eastAsia="等线" w:hAnsi="等线"/>
          <w:b/>
          <w:sz w:val="24"/>
        </w:rPr>
        <w:t>Professional Background</w:t>
      </w:r>
    </w:p>
    <w:p w14:paraId="5567FC3C" w14:textId="5A8C2B34" w:rsidR="00686369" w:rsidRPr="0007264F" w:rsidRDefault="0007264F" w:rsidP="0007264F">
      <w:pPr>
        <w:pStyle w:val="af5"/>
        <w:numPr>
          <w:ilvl w:val="0"/>
          <w:numId w:val="37"/>
        </w:numPr>
        <w:spacing w:before="120"/>
        <w:ind w:left="690" w:hanging="240"/>
        <w:rPr>
          <w:rFonts w:ascii="等线" w:eastAsia="等线" w:hAnsi="Times New Roman"/>
          <w:color w:val="000000"/>
        </w:rPr>
      </w:pPr>
      <w:r w:rsidRPr="0007264F">
        <w:rPr>
          <w:rFonts w:ascii="等线" w:eastAsia="等线" w:hAnsi="Times New Roman"/>
          <w:color w:val="000000"/>
        </w:rPr>
        <w:t>Ms. Tang joined Fangda Partners in 2005.</w:t>
      </w:r>
    </w:p>
    <w:sectPr w:rsidR="00686369" w:rsidRPr="0007264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146C8"/>
    <w:multiLevelType w:val="singleLevel"/>
    <w:tmpl w:val="F0DE2DB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B2548B"/>
    <w:multiLevelType w:val="singleLevel"/>
    <w:tmpl w:val="65B2B9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CF6D3D"/>
    <w:multiLevelType w:val="singleLevel"/>
    <w:tmpl w:val="BF6AD8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08579E"/>
    <w:multiLevelType w:val="singleLevel"/>
    <w:tmpl w:val="77242EA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12431B"/>
    <w:multiLevelType w:val="singleLevel"/>
    <w:tmpl w:val="519050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2F163E"/>
    <w:multiLevelType w:val="singleLevel"/>
    <w:tmpl w:val="948E81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49786B"/>
    <w:multiLevelType w:val="singleLevel"/>
    <w:tmpl w:val="977ABB5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267625"/>
    <w:multiLevelType w:val="singleLevel"/>
    <w:tmpl w:val="BE426E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D733B8"/>
    <w:multiLevelType w:val="singleLevel"/>
    <w:tmpl w:val="8BF265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1F7D89"/>
    <w:multiLevelType w:val="singleLevel"/>
    <w:tmpl w:val="88826EA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8B3FA5"/>
    <w:multiLevelType w:val="singleLevel"/>
    <w:tmpl w:val="DBEEFCA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A06208"/>
    <w:multiLevelType w:val="singleLevel"/>
    <w:tmpl w:val="6E2035D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7B0D07"/>
    <w:multiLevelType w:val="singleLevel"/>
    <w:tmpl w:val="E05E20D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F246F6"/>
    <w:multiLevelType w:val="singleLevel"/>
    <w:tmpl w:val="A800B37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2743E2D"/>
    <w:multiLevelType w:val="singleLevel"/>
    <w:tmpl w:val="D8E69E0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340C89"/>
    <w:multiLevelType w:val="singleLevel"/>
    <w:tmpl w:val="95BE3C3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40522C"/>
    <w:multiLevelType w:val="singleLevel"/>
    <w:tmpl w:val="A428136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05743F"/>
    <w:multiLevelType w:val="singleLevel"/>
    <w:tmpl w:val="6AD2865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12D0C3E"/>
    <w:multiLevelType w:val="singleLevel"/>
    <w:tmpl w:val="9CC2550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203DE5"/>
    <w:multiLevelType w:val="singleLevel"/>
    <w:tmpl w:val="022A5DC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6E6B3D"/>
    <w:multiLevelType w:val="singleLevel"/>
    <w:tmpl w:val="58AE9C9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4C0CD3"/>
    <w:multiLevelType w:val="singleLevel"/>
    <w:tmpl w:val="BFB28C9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5AD28C0"/>
    <w:multiLevelType w:val="singleLevel"/>
    <w:tmpl w:val="5572619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AA2B57"/>
    <w:multiLevelType w:val="singleLevel"/>
    <w:tmpl w:val="152A5A2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EE709B"/>
    <w:multiLevelType w:val="singleLevel"/>
    <w:tmpl w:val="5E0A228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7C560B"/>
    <w:multiLevelType w:val="singleLevel"/>
    <w:tmpl w:val="15B4DD0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1900DCA"/>
    <w:multiLevelType w:val="singleLevel"/>
    <w:tmpl w:val="0F8E285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81D619B"/>
    <w:multiLevelType w:val="singleLevel"/>
    <w:tmpl w:val="347ABC4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5A6462"/>
    <w:multiLevelType w:val="singleLevel"/>
    <w:tmpl w:val="9CC2550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A85DC4"/>
    <w:multiLevelType w:val="singleLevel"/>
    <w:tmpl w:val="0C30DCD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14A797C"/>
    <w:multiLevelType w:val="singleLevel"/>
    <w:tmpl w:val="3148E9C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2102E7B"/>
    <w:multiLevelType w:val="singleLevel"/>
    <w:tmpl w:val="8646AE8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5963C2D"/>
    <w:multiLevelType w:val="singleLevel"/>
    <w:tmpl w:val="5008A98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136B48"/>
    <w:multiLevelType w:val="singleLevel"/>
    <w:tmpl w:val="7AE4233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CEC361B"/>
    <w:multiLevelType w:val="singleLevel"/>
    <w:tmpl w:val="A89A864C"/>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21"/>
  </w:num>
  <w:num w:numId="4">
    <w:abstractNumId w:val="5"/>
  </w:num>
  <w:num w:numId="5">
    <w:abstractNumId w:val="32"/>
  </w:num>
  <w:num w:numId="6">
    <w:abstractNumId w:val="18"/>
  </w:num>
  <w:num w:numId="7">
    <w:abstractNumId w:val="11"/>
  </w:num>
  <w:num w:numId="8">
    <w:abstractNumId w:val="33"/>
  </w:num>
  <w:num w:numId="9">
    <w:abstractNumId w:val="26"/>
  </w:num>
  <w:num w:numId="10">
    <w:abstractNumId w:val="4"/>
  </w:num>
  <w:num w:numId="11">
    <w:abstractNumId w:val="31"/>
  </w:num>
  <w:num w:numId="12">
    <w:abstractNumId w:val="23"/>
  </w:num>
  <w:num w:numId="13">
    <w:abstractNumId w:val="15"/>
  </w:num>
  <w:num w:numId="14">
    <w:abstractNumId w:val="7"/>
  </w:num>
  <w:num w:numId="15">
    <w:abstractNumId w:val="27"/>
  </w:num>
  <w:num w:numId="16">
    <w:abstractNumId w:val="28"/>
  </w:num>
  <w:num w:numId="17">
    <w:abstractNumId w:val="6"/>
  </w:num>
  <w:num w:numId="18">
    <w:abstractNumId w:val="25"/>
  </w:num>
  <w:num w:numId="19">
    <w:abstractNumId w:val="1"/>
  </w:num>
  <w:num w:numId="20">
    <w:abstractNumId w:val="0"/>
  </w:num>
  <w:num w:numId="21">
    <w:abstractNumId w:val="29"/>
  </w:num>
  <w:num w:numId="22">
    <w:abstractNumId w:val="35"/>
  </w:num>
  <w:num w:numId="23">
    <w:abstractNumId w:val="9"/>
  </w:num>
  <w:num w:numId="24">
    <w:abstractNumId w:val="12"/>
  </w:num>
  <w:num w:numId="25">
    <w:abstractNumId w:val="8"/>
  </w:num>
  <w:num w:numId="26">
    <w:abstractNumId w:val="22"/>
  </w:num>
  <w:num w:numId="27">
    <w:abstractNumId w:val="2"/>
  </w:num>
  <w:num w:numId="28">
    <w:abstractNumId w:val="17"/>
  </w:num>
  <w:num w:numId="29">
    <w:abstractNumId w:val="10"/>
  </w:num>
  <w:num w:numId="30">
    <w:abstractNumId w:val="3"/>
  </w:num>
  <w:num w:numId="31">
    <w:abstractNumId w:val="36"/>
  </w:num>
  <w:num w:numId="32">
    <w:abstractNumId w:val="24"/>
  </w:num>
  <w:num w:numId="33">
    <w:abstractNumId w:val="34"/>
  </w:num>
  <w:num w:numId="34">
    <w:abstractNumId w:val="16"/>
  </w:num>
  <w:num w:numId="35">
    <w:abstractNumId w:val="13"/>
  </w:num>
  <w:num w:numId="36">
    <w:abstractNumId w:val="20"/>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7264F"/>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7264F"/>
    <w:pPr>
      <w:spacing w:after="120"/>
    </w:pPr>
  </w:style>
  <w:style w:type="character" w:customStyle="1" w:styleId="af6">
    <w:name w:val="正文文本 字符"/>
    <w:basedOn w:val="a0"/>
    <w:link w:val="af5"/>
    <w:uiPriority w:val="99"/>
    <w:rsid w:val="0007264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79D9E-C320-4CF2-8252-375BFD8B4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701</Words>
  <Characters>4002</Characters>
  <Application>Microsoft Office Word</Application>
  <DocSecurity>0</DocSecurity>
  <Lines>33</Lines>
  <Paragraphs>9</Paragraphs>
  <ScaleCrop>false</ScaleCrop>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2026-10-08T04:21:00Z</dcterms:created>
  <dcterms:modified xsi:type="dcterms:W3CDTF">2026-10-08T04:21:00Z</dcterms:modified>
</cp:coreProperties>
</file>