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7E78F7F" w:rsidR="0049405C" w:rsidRPr="00C24D79" w:rsidRDefault="00B63DB1" w:rsidP="00B63DB1">
            <w:pPr>
              <w:spacing w:line="720" w:lineRule="auto"/>
              <w:rPr>
                <w:rFonts w:eastAsiaTheme="minorHAnsi"/>
                <w:color w:val="545551"/>
              </w:rPr>
            </w:pPr>
            <w:bookmarkStart w:id="0" w:name="xingming"/>
            <w:bookmarkStart w:id="1" w:name="_GoBack"/>
            <w:bookmarkEnd w:id="1"/>
            <w:r w:rsidRPr="00B63DB1">
              <w:rPr>
                <w:rFonts w:ascii="等线" w:eastAsia="等线" w:hAnsi="Times New Roman"/>
                <w:b/>
                <w:color w:val="000000"/>
                <w:sz w:val="48"/>
              </w:rPr>
              <w:t>ANNIE SHEN</w:t>
            </w:r>
            <w:bookmarkEnd w:id="0"/>
          </w:p>
          <w:p w14:paraId="706EB16B" w14:textId="09790276" w:rsidR="0049405C" w:rsidRPr="00C24D79" w:rsidRDefault="00B63DB1" w:rsidP="00B63DB1">
            <w:pPr>
              <w:spacing w:line="360" w:lineRule="auto"/>
              <w:rPr>
                <w:rFonts w:eastAsiaTheme="minorHAnsi"/>
                <w:b/>
                <w:bCs/>
                <w:color w:val="545551"/>
              </w:rPr>
            </w:pPr>
            <w:bookmarkStart w:id="2" w:name="didian"/>
            <w:r w:rsidRPr="00B63DB1">
              <w:rPr>
                <w:rFonts w:ascii="等线" w:eastAsia="等线" w:hAnsi="Times New Roman"/>
                <w:b/>
                <w:bCs/>
                <w:color w:val="000000"/>
              </w:rPr>
              <w:t>Partner</w:t>
            </w:r>
            <w:r w:rsidRPr="00B63DB1">
              <w:rPr>
                <w:rFonts w:ascii="等线" w:eastAsia="等线" w:hAnsi="Times New Roman"/>
                <w:b/>
                <w:bCs/>
                <w:color w:val="000000"/>
              </w:rPr>
              <w:t>·</w:t>
            </w:r>
            <w:r w:rsidRPr="00B63DB1">
              <w:rPr>
                <w:rFonts w:ascii="等线" w:eastAsia="等线" w:hAnsi="Times New Roman"/>
                <w:b/>
                <w:bCs/>
                <w:color w:val="000000"/>
              </w:rPr>
              <w:t>Hong Kong | Shanghai</w:t>
            </w:r>
            <w:bookmarkEnd w:id="2"/>
          </w:p>
          <w:p w14:paraId="6199424A" w14:textId="02601E25" w:rsidR="0049405C" w:rsidRPr="00C24D79" w:rsidRDefault="00B63DB1" w:rsidP="00B63DB1">
            <w:pPr>
              <w:spacing w:line="360" w:lineRule="auto"/>
              <w:rPr>
                <w:rFonts w:eastAsiaTheme="minorHAnsi"/>
                <w:color w:val="545551"/>
              </w:rPr>
            </w:pPr>
            <w:bookmarkStart w:id="3" w:name="dianhua"/>
            <w:r w:rsidRPr="00B63DB1">
              <w:rPr>
                <w:rFonts w:ascii="等线" w:eastAsia="等线" w:hAnsi="Times New Roman"/>
                <w:color w:val="000000"/>
              </w:rPr>
              <w:t xml:space="preserve">+852 3749 1121 </w:t>
            </w:r>
            <w:bookmarkEnd w:id="3"/>
          </w:p>
          <w:p w14:paraId="4F910ACA" w14:textId="3C712A8A" w:rsidR="0049405C" w:rsidRPr="00C24D79" w:rsidRDefault="00B63DB1" w:rsidP="00B63DB1">
            <w:pPr>
              <w:spacing w:line="360" w:lineRule="auto"/>
              <w:rPr>
                <w:rFonts w:eastAsiaTheme="minorHAnsi"/>
                <w:color w:val="000000"/>
              </w:rPr>
            </w:pPr>
            <w:bookmarkStart w:id="4" w:name="youxiang"/>
            <w:r w:rsidRPr="00B63DB1">
              <w:rPr>
                <w:rFonts w:ascii="等线" w:eastAsia="等线" w:hAnsi="Times New Roman"/>
                <w:color w:val="000000"/>
              </w:rPr>
              <w:t>annie.shen@fangdalaw.com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5B983B2" w:rsidR="0049405C" w:rsidRPr="00C24D79" w:rsidRDefault="00B63DB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8FE14A9" wp14:editId="7DD8EA3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C79B358" w:rsidR="009465FB" w:rsidRPr="00C24D79" w:rsidRDefault="00B63DB1" w:rsidP="007177F3">
            <w:pPr>
              <w:rPr>
                <w:rFonts w:eastAsiaTheme="minorHAnsi"/>
                <w:color w:val="000000"/>
                <w:szCs w:val="21"/>
              </w:rPr>
            </w:pPr>
            <w:bookmarkStart w:id="6" w:name="zhiyelingyu"/>
            <w:r w:rsidRPr="00B63DB1">
              <w:rPr>
                <w:rFonts w:ascii="等线" w:eastAsia="等线" w:hAnsi="Times New Roman"/>
                <w:color w:val="000000"/>
                <w:szCs w:val="21"/>
              </w:rPr>
              <w:t>ANNIE SHEN SPECIALIZES IN DEBT &amp; EQUITY CAPITAL MARKETS, LIABILITY MANAGEMENT AND DEBT RESTRUCTURING, DIGITAL ASSETS (RWA) AND FINTECH INNOVATION, AS WELL AS REGULATORY ADVISORY AND COMPLIANCE.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C81349" w14:textId="77777777" w:rsidR="00B63DB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3835046" w14:textId="77777777" w:rsidR="00B63DB1" w:rsidRDefault="00B63DB1" w:rsidP="00B63DB1">
      <w:pPr>
        <w:pStyle w:val="af5"/>
        <w:spacing w:after="0" w:line="480" w:lineRule="auto"/>
        <w:rPr>
          <w:rFonts w:ascii="等线" w:eastAsia="等线" w:hAnsi="等线"/>
          <w:b/>
          <w:sz w:val="24"/>
        </w:rPr>
      </w:pPr>
      <w:r w:rsidRPr="00B63DB1">
        <w:rPr>
          <w:rFonts w:ascii="等线" w:eastAsia="等线" w:hAnsi="等线"/>
          <w:b/>
          <w:sz w:val="24"/>
        </w:rPr>
        <w:t>REPRESENTATIVE MATTERS AND CASES</w:t>
      </w:r>
    </w:p>
    <w:p w14:paraId="2B37F4DB" w14:textId="77777777" w:rsidR="00B63DB1" w:rsidRDefault="00B63DB1" w:rsidP="00B63DB1">
      <w:pPr>
        <w:pStyle w:val="af5"/>
        <w:spacing w:before="120"/>
        <w:rPr>
          <w:rFonts w:ascii="等线" w:eastAsia="等线" w:hAnsi="Times New Roman"/>
          <w:color w:val="000000"/>
        </w:rPr>
      </w:pPr>
      <w:r w:rsidRPr="00B63DB1">
        <w:rPr>
          <w:rFonts w:ascii="等线" w:eastAsia="等线" w:hAnsi="Times New Roman"/>
          <w:color w:val="000000"/>
        </w:rPr>
        <w:t>Digital Assets, RWA &amp; Fintech Innovation</w:t>
      </w:r>
    </w:p>
    <w:p w14:paraId="5273C802" w14:textId="77777777" w:rsidR="00B63DB1" w:rsidRDefault="00B63DB1" w:rsidP="00B63DB1">
      <w:pPr>
        <w:pStyle w:val="af5"/>
        <w:numPr>
          <w:ilvl w:val="0"/>
          <w:numId w:val="4"/>
        </w:numPr>
        <w:spacing w:before="120"/>
        <w:ind w:left="690" w:hanging="240"/>
        <w:rPr>
          <w:rFonts w:ascii="等线" w:eastAsia="等线" w:hAnsi="Times New Roman"/>
          <w:color w:val="000000"/>
        </w:rPr>
      </w:pPr>
      <w:r w:rsidRPr="00B63DB1">
        <w:rPr>
          <w:rFonts w:ascii="等线" w:eastAsia="等线" w:hAnsi="Times New Roman"/>
          <w:color w:val="000000"/>
        </w:rPr>
        <w:t>World</w:t>
      </w:r>
      <w:r w:rsidRPr="00B63DB1">
        <w:rPr>
          <w:rFonts w:ascii="等线" w:eastAsia="等线" w:hAnsi="Times New Roman"/>
          <w:color w:val="000000"/>
        </w:rPr>
        <w:t>’</w:t>
      </w:r>
      <w:r w:rsidRPr="00B63DB1">
        <w:rPr>
          <w:rFonts w:ascii="等线" w:eastAsia="等线" w:hAnsi="Times New Roman"/>
          <w:color w:val="000000"/>
        </w:rPr>
        <w:t>s First Carbon Coin RWA Issuance: Lead counsel on the groundbreaking structuring of the first blockchain-based carbon credit token, integrating Green Finance with DeFi.</w:t>
      </w:r>
    </w:p>
    <w:p w14:paraId="13775C60" w14:textId="77777777" w:rsidR="00B63DB1" w:rsidRDefault="00B63DB1" w:rsidP="00B63DB1">
      <w:pPr>
        <w:pStyle w:val="af5"/>
        <w:spacing w:before="120"/>
        <w:rPr>
          <w:rFonts w:ascii="等线" w:eastAsia="等线" w:hAnsi="Times New Roman"/>
          <w:color w:val="000000"/>
        </w:rPr>
      </w:pPr>
      <w:r w:rsidRPr="00B63DB1">
        <w:rPr>
          <w:rFonts w:ascii="等线" w:eastAsia="等线" w:hAnsi="Times New Roman"/>
          <w:color w:val="000000"/>
        </w:rPr>
        <w:t>Debt Capital Markets &amp; Restructuring</w:t>
      </w:r>
    </w:p>
    <w:p w14:paraId="4EF1F05B" w14:textId="77777777" w:rsidR="00B63DB1" w:rsidRDefault="00B63DB1" w:rsidP="00B63DB1">
      <w:pPr>
        <w:pStyle w:val="af5"/>
        <w:numPr>
          <w:ilvl w:val="0"/>
          <w:numId w:val="5"/>
        </w:numPr>
        <w:spacing w:before="120"/>
        <w:ind w:left="690" w:hanging="240"/>
        <w:rPr>
          <w:rFonts w:ascii="等线" w:eastAsia="等线" w:hAnsi="Times New Roman"/>
          <w:color w:val="000000"/>
        </w:rPr>
      </w:pPr>
      <w:r w:rsidRPr="00B63DB1">
        <w:rPr>
          <w:rFonts w:ascii="等线" w:eastAsia="等线" w:hAnsi="Times New Roman"/>
          <w:color w:val="000000"/>
        </w:rPr>
        <w:t>Sovereign &amp; Industrial debt offerings: Advised the Ministry of Finance of the PRC on numerous offshore bond offerings. Lead counsel for CITIC Securities, East Money Information, Zhejiang Seaport Group, Weichai Power, Geely Group, Far East Horizon, Shandong Finance Group, TCL Technology, Kunlun Energy.</w:t>
      </w:r>
    </w:p>
    <w:p w14:paraId="1C37C700" w14:textId="77777777" w:rsidR="00B63DB1" w:rsidRDefault="00B63DB1" w:rsidP="00B63DB1">
      <w:pPr>
        <w:pStyle w:val="af5"/>
        <w:numPr>
          <w:ilvl w:val="0"/>
          <w:numId w:val="6"/>
        </w:numPr>
        <w:spacing w:before="120"/>
        <w:ind w:left="690" w:hanging="240"/>
        <w:rPr>
          <w:rFonts w:ascii="等线" w:eastAsia="等线" w:hAnsi="Times New Roman"/>
          <w:color w:val="000000"/>
        </w:rPr>
      </w:pPr>
      <w:r w:rsidRPr="00B63DB1">
        <w:rPr>
          <w:rFonts w:ascii="等线" w:eastAsia="等线" w:hAnsi="Times New Roman"/>
          <w:color w:val="000000"/>
        </w:rPr>
        <w:t>LGFV Offerings: Lead counsel for Jinan Energy Group, Shandong Commercial Group, Xi</w:t>
      </w:r>
      <w:r w:rsidRPr="00B63DB1">
        <w:rPr>
          <w:rFonts w:ascii="等线" w:eastAsia="等线" w:hAnsi="Times New Roman"/>
          <w:color w:val="000000"/>
        </w:rPr>
        <w:t>’</w:t>
      </w:r>
      <w:r w:rsidRPr="00B63DB1">
        <w:rPr>
          <w:rFonts w:ascii="等线" w:eastAsia="等线" w:hAnsi="Times New Roman"/>
          <w:color w:val="000000"/>
        </w:rPr>
        <w:t>an Aerospace Hi-tech, Ningbo Yincheng, Tongling Development and Chongqing Fuling Development Group.</w:t>
      </w:r>
    </w:p>
    <w:p w14:paraId="29BD99F3" w14:textId="77777777" w:rsidR="00B63DB1" w:rsidRDefault="00B63DB1" w:rsidP="00B63DB1">
      <w:pPr>
        <w:pStyle w:val="af5"/>
        <w:numPr>
          <w:ilvl w:val="0"/>
          <w:numId w:val="7"/>
        </w:numPr>
        <w:spacing w:before="120"/>
        <w:ind w:left="690" w:hanging="240"/>
        <w:rPr>
          <w:rFonts w:ascii="等线" w:eastAsia="等线" w:hAnsi="Times New Roman"/>
          <w:color w:val="000000"/>
        </w:rPr>
      </w:pPr>
      <w:r w:rsidRPr="00B63DB1">
        <w:rPr>
          <w:rFonts w:ascii="等线" w:eastAsia="等线" w:hAnsi="Times New Roman"/>
          <w:color w:val="000000"/>
        </w:rPr>
        <w:t>High Yield: Lead counsel for Sunac China, Central China Real Estate, Aoyuan Property Group, China Oceanwide Holdings, Agile Group, China Hongqiao, CIFI Holdings, KWG Group, Nexteer Automotive Group, Shui On Land, West China Cement, and Xinhu Zhongbao.</w:t>
      </w:r>
    </w:p>
    <w:p w14:paraId="2C3B5AE5" w14:textId="77777777" w:rsidR="00B63DB1" w:rsidRDefault="00B63DB1" w:rsidP="00B63DB1">
      <w:pPr>
        <w:pStyle w:val="af5"/>
        <w:numPr>
          <w:ilvl w:val="0"/>
          <w:numId w:val="8"/>
        </w:numPr>
        <w:spacing w:before="120"/>
        <w:ind w:left="690" w:hanging="240"/>
        <w:rPr>
          <w:rFonts w:ascii="等线" w:eastAsia="等线" w:hAnsi="Times New Roman"/>
          <w:color w:val="000000"/>
        </w:rPr>
      </w:pPr>
      <w:r w:rsidRPr="00B63DB1">
        <w:rPr>
          <w:rFonts w:ascii="等线" w:eastAsia="等线" w:hAnsi="Times New Roman"/>
          <w:color w:val="000000"/>
        </w:rPr>
        <w:t>Debt Restructuring: Orchestrated debt restructurings for Central China Real Estate, Sunac China, and SOHO China.</w:t>
      </w:r>
    </w:p>
    <w:p w14:paraId="0A6A112C" w14:textId="77777777" w:rsidR="00B63DB1" w:rsidRDefault="00B63DB1" w:rsidP="00B63DB1">
      <w:pPr>
        <w:pStyle w:val="af5"/>
        <w:spacing w:before="120"/>
        <w:rPr>
          <w:rFonts w:ascii="等线" w:eastAsia="等线" w:hAnsi="Times New Roman"/>
          <w:color w:val="000000"/>
        </w:rPr>
      </w:pPr>
      <w:r w:rsidRPr="00B63DB1">
        <w:rPr>
          <w:rFonts w:ascii="等线" w:eastAsia="等线" w:hAnsi="Times New Roman"/>
          <w:color w:val="000000"/>
        </w:rPr>
        <w:t>Equity &amp; M&amp;A</w:t>
      </w:r>
    </w:p>
    <w:p w14:paraId="0D681A8B" w14:textId="77777777" w:rsidR="00B63DB1" w:rsidRDefault="00B63DB1" w:rsidP="00B63DB1">
      <w:pPr>
        <w:pStyle w:val="af5"/>
        <w:numPr>
          <w:ilvl w:val="0"/>
          <w:numId w:val="9"/>
        </w:numPr>
        <w:spacing w:before="120"/>
        <w:ind w:left="690" w:hanging="240"/>
        <w:rPr>
          <w:rFonts w:ascii="等线" w:eastAsia="等线" w:hAnsi="Times New Roman"/>
          <w:color w:val="000000"/>
        </w:rPr>
      </w:pPr>
      <w:r w:rsidRPr="00B63DB1">
        <w:rPr>
          <w:rFonts w:ascii="等线" w:eastAsia="等线" w:hAnsi="Times New Roman"/>
          <w:color w:val="000000"/>
        </w:rPr>
        <w:t>US IPOs: Advised Baidu, 51job, Cheetah Mobile, AU Optronics, Spreadtrum Communications, The9, Shanda Group and Himax Technologies on US listings and follow-on offerings.</w:t>
      </w:r>
    </w:p>
    <w:p w14:paraId="7D273BE4" w14:textId="77777777" w:rsidR="00B63DB1" w:rsidRDefault="00B63DB1" w:rsidP="00B63DB1">
      <w:pPr>
        <w:pStyle w:val="af5"/>
        <w:numPr>
          <w:ilvl w:val="0"/>
          <w:numId w:val="10"/>
        </w:numPr>
        <w:spacing w:before="120"/>
        <w:ind w:left="690" w:hanging="240"/>
        <w:rPr>
          <w:rFonts w:ascii="等线" w:eastAsia="等线" w:hAnsi="Times New Roman"/>
          <w:color w:val="000000"/>
        </w:rPr>
      </w:pPr>
      <w:r w:rsidRPr="00B63DB1">
        <w:rPr>
          <w:rFonts w:ascii="等线" w:eastAsia="等线" w:hAnsi="Times New Roman"/>
          <w:color w:val="000000"/>
        </w:rPr>
        <w:t>HK Reg S/Rule 144A Global Offerings: Advised Agricultural Bank of China, ICBC, China Construction Bank, PICC, CDB Leasing, Guangzhou Rural Commercial Bank, Llightelligence and China Merchants Bank on landmark listings.</w:t>
      </w:r>
    </w:p>
    <w:p w14:paraId="3127E4C3" w14:textId="77777777" w:rsidR="00B63DB1" w:rsidRDefault="00B63DB1" w:rsidP="00B63DB1">
      <w:pPr>
        <w:pStyle w:val="af5"/>
        <w:numPr>
          <w:ilvl w:val="0"/>
          <w:numId w:val="11"/>
        </w:numPr>
        <w:spacing w:before="120"/>
        <w:ind w:left="690" w:hanging="240"/>
        <w:rPr>
          <w:rFonts w:ascii="等线" w:eastAsia="等线" w:hAnsi="Times New Roman"/>
          <w:color w:val="000000"/>
        </w:rPr>
      </w:pPr>
      <w:r w:rsidRPr="00B63DB1">
        <w:rPr>
          <w:rFonts w:ascii="等线" w:eastAsia="等线" w:hAnsi="Times New Roman"/>
          <w:color w:val="000000"/>
        </w:rPr>
        <w:t>Strategic M&amp;A: Counsel to Goldman Sachs and CIC on high-stakes cross-border investments, and the Federal Reserve</w:t>
      </w:r>
      <w:r w:rsidRPr="00B63DB1">
        <w:rPr>
          <w:rFonts w:ascii="等线" w:eastAsia="等线" w:hAnsi="Times New Roman"/>
          <w:color w:val="000000"/>
        </w:rPr>
        <w:t>’</w:t>
      </w:r>
      <w:r w:rsidRPr="00B63DB1">
        <w:rPr>
          <w:rFonts w:ascii="等线" w:eastAsia="等线" w:hAnsi="Times New Roman"/>
          <w:color w:val="000000"/>
        </w:rPr>
        <w:t>s acquisition of AIA</w:t>
      </w:r>
      <w:r w:rsidRPr="00B63DB1">
        <w:rPr>
          <w:rFonts w:ascii="等线" w:eastAsia="等线" w:hAnsi="Times New Roman"/>
          <w:color w:val="000000"/>
        </w:rPr>
        <w:t>’</w:t>
      </w:r>
      <w:r w:rsidRPr="00B63DB1">
        <w:rPr>
          <w:rFonts w:ascii="等线" w:eastAsia="等线" w:hAnsi="Times New Roman"/>
          <w:color w:val="000000"/>
        </w:rPr>
        <w:t>s priority interests through a debt-for-equity swap with AIG.</w:t>
      </w:r>
    </w:p>
    <w:p w14:paraId="3943DB90" w14:textId="77777777" w:rsidR="00B63DB1" w:rsidRDefault="00B63DB1" w:rsidP="00B63DB1">
      <w:pPr>
        <w:pStyle w:val="af5"/>
        <w:numPr>
          <w:ilvl w:val="0"/>
          <w:numId w:val="12"/>
        </w:numPr>
        <w:spacing w:before="120"/>
        <w:ind w:left="690" w:hanging="240"/>
        <w:rPr>
          <w:rFonts w:ascii="等线" w:eastAsia="等线" w:hAnsi="Times New Roman"/>
          <w:color w:val="000000"/>
        </w:rPr>
      </w:pPr>
      <w:r w:rsidRPr="00B63DB1">
        <w:rPr>
          <w:rFonts w:ascii="等线" w:eastAsia="等线" w:hAnsi="Times New Roman"/>
          <w:color w:val="000000"/>
        </w:rPr>
        <w:t>Equity-Linked Transactions: Counseled on a range of equity-linked deals, including: China Merchants Bank</w:t>
      </w:r>
      <w:r w:rsidRPr="00B63DB1">
        <w:rPr>
          <w:rFonts w:ascii="等线" w:eastAsia="等线" w:hAnsi="Times New Roman"/>
          <w:color w:val="000000"/>
        </w:rPr>
        <w:t>’</w:t>
      </w:r>
      <w:r w:rsidRPr="00B63DB1">
        <w:rPr>
          <w:rFonts w:ascii="等线" w:eastAsia="等线" w:hAnsi="Times New Roman"/>
          <w:color w:val="000000"/>
        </w:rPr>
        <w:t>s rights offering; NQ Mobile</w:t>
      </w:r>
      <w:r w:rsidRPr="00B63DB1">
        <w:rPr>
          <w:rFonts w:ascii="等线" w:eastAsia="等线" w:hAnsi="Times New Roman"/>
          <w:color w:val="000000"/>
        </w:rPr>
        <w:t>’</w:t>
      </w:r>
      <w:r w:rsidRPr="00B63DB1">
        <w:rPr>
          <w:rFonts w:ascii="等线" w:eastAsia="等线" w:hAnsi="Times New Roman"/>
          <w:color w:val="000000"/>
        </w:rPr>
        <w:t>s convertible bond offering; preference share offerings by Guangzhou Rural Commercial Bank and Zhengzhou Bank; and</w:t>
      </w:r>
    </w:p>
    <w:p w14:paraId="17245DB7" w14:textId="77777777" w:rsidR="00B63DB1" w:rsidRDefault="00B63DB1" w:rsidP="00B63DB1">
      <w:pPr>
        <w:pStyle w:val="af5"/>
        <w:numPr>
          <w:ilvl w:val="0"/>
          <w:numId w:val="13"/>
        </w:numPr>
        <w:spacing w:before="120"/>
        <w:ind w:left="690" w:hanging="240"/>
        <w:rPr>
          <w:rFonts w:ascii="等线" w:eastAsia="等线" w:hAnsi="Times New Roman"/>
          <w:color w:val="000000"/>
        </w:rPr>
      </w:pPr>
      <w:r w:rsidRPr="00B63DB1">
        <w:rPr>
          <w:rFonts w:ascii="等线" w:eastAsia="等线" w:hAnsi="Times New Roman"/>
          <w:color w:val="000000"/>
        </w:rPr>
        <w:t>SEC-registered shelf takedowns: Advised on deals by The Korea Development Bank and The Export-Import Bank of Korea.</w:t>
      </w:r>
    </w:p>
    <w:p w14:paraId="7FB6D068" w14:textId="77777777" w:rsidR="00B63DB1" w:rsidRDefault="00B63DB1" w:rsidP="00B63DB1">
      <w:pPr>
        <w:pStyle w:val="af5"/>
        <w:spacing w:after="0" w:line="480" w:lineRule="auto"/>
        <w:rPr>
          <w:rFonts w:ascii="等线" w:eastAsia="等线" w:hAnsi="等线"/>
          <w:b/>
          <w:sz w:val="24"/>
        </w:rPr>
      </w:pPr>
      <w:r w:rsidRPr="00B63DB1">
        <w:rPr>
          <w:rFonts w:ascii="等线" w:eastAsia="等线" w:hAnsi="等线"/>
          <w:b/>
          <w:sz w:val="24"/>
        </w:rPr>
        <w:t>Education</w:t>
      </w:r>
    </w:p>
    <w:p w14:paraId="7FE12DBD" w14:textId="77777777" w:rsidR="00B63DB1" w:rsidRDefault="00B63DB1" w:rsidP="00B63DB1">
      <w:pPr>
        <w:pStyle w:val="af5"/>
        <w:numPr>
          <w:ilvl w:val="0"/>
          <w:numId w:val="14"/>
        </w:numPr>
        <w:spacing w:before="120"/>
        <w:ind w:left="690" w:hanging="240"/>
        <w:rPr>
          <w:rFonts w:ascii="等线" w:eastAsia="等线" w:hAnsi="Times New Roman"/>
          <w:color w:val="000000"/>
        </w:rPr>
      </w:pPr>
      <w:r w:rsidRPr="00B63DB1">
        <w:rPr>
          <w:rFonts w:ascii="等线" w:eastAsia="等线" w:hAnsi="Times New Roman"/>
          <w:color w:val="000000"/>
        </w:rPr>
        <w:t>New York University, School of Law, LL.M</w:t>
      </w:r>
    </w:p>
    <w:p w14:paraId="2F01E978" w14:textId="77777777" w:rsidR="00B63DB1" w:rsidRDefault="00B63DB1" w:rsidP="00B63DB1">
      <w:pPr>
        <w:pStyle w:val="af5"/>
        <w:numPr>
          <w:ilvl w:val="0"/>
          <w:numId w:val="15"/>
        </w:numPr>
        <w:spacing w:before="120"/>
        <w:ind w:left="690" w:hanging="240"/>
        <w:rPr>
          <w:rFonts w:ascii="等线" w:eastAsia="等线" w:hAnsi="Times New Roman"/>
          <w:color w:val="000000"/>
        </w:rPr>
      </w:pPr>
      <w:r w:rsidRPr="00B63DB1">
        <w:rPr>
          <w:rFonts w:ascii="等线" w:eastAsia="等线" w:hAnsi="Times New Roman"/>
          <w:color w:val="000000"/>
        </w:rPr>
        <w:t>City University of Hong Kong, School of Law, M.Phil</w:t>
      </w:r>
    </w:p>
    <w:p w14:paraId="6D7A1A49" w14:textId="77777777" w:rsidR="00B63DB1" w:rsidRDefault="00B63DB1" w:rsidP="00B63DB1">
      <w:pPr>
        <w:pStyle w:val="af5"/>
        <w:numPr>
          <w:ilvl w:val="0"/>
          <w:numId w:val="16"/>
        </w:numPr>
        <w:spacing w:before="120"/>
        <w:ind w:left="690" w:hanging="240"/>
        <w:rPr>
          <w:rFonts w:ascii="等线" w:eastAsia="等线" w:hAnsi="Times New Roman"/>
          <w:color w:val="000000"/>
        </w:rPr>
      </w:pPr>
      <w:r w:rsidRPr="00B63DB1">
        <w:rPr>
          <w:rFonts w:ascii="等线" w:eastAsia="等线" w:hAnsi="Times New Roman"/>
          <w:color w:val="000000"/>
        </w:rPr>
        <w:t>Shanghai University of International Business and Economics, School of Law, LL.B</w:t>
      </w:r>
    </w:p>
    <w:p w14:paraId="0EA7C5D2" w14:textId="77777777" w:rsidR="00B63DB1" w:rsidRDefault="00B63DB1" w:rsidP="00B63DB1">
      <w:pPr>
        <w:pStyle w:val="af5"/>
        <w:numPr>
          <w:ilvl w:val="0"/>
          <w:numId w:val="17"/>
        </w:numPr>
        <w:spacing w:before="120"/>
        <w:ind w:left="690" w:hanging="240"/>
        <w:rPr>
          <w:rFonts w:ascii="等线" w:eastAsia="等线" w:hAnsi="Times New Roman"/>
          <w:color w:val="000000"/>
        </w:rPr>
      </w:pPr>
      <w:r w:rsidRPr="00B63DB1">
        <w:rPr>
          <w:rFonts w:ascii="等线" w:eastAsia="等线" w:hAnsi="Times New Roman"/>
          <w:color w:val="000000"/>
        </w:rPr>
        <w:t>Sydney Law School, Visiting Scholar</w:t>
      </w:r>
    </w:p>
    <w:p w14:paraId="03114011" w14:textId="77777777" w:rsidR="00B63DB1" w:rsidRDefault="00B63DB1" w:rsidP="00B63DB1">
      <w:pPr>
        <w:pStyle w:val="af5"/>
        <w:spacing w:after="0" w:line="480" w:lineRule="auto"/>
        <w:rPr>
          <w:rFonts w:ascii="等线" w:eastAsia="等线" w:hAnsi="等线"/>
          <w:b/>
          <w:sz w:val="24"/>
        </w:rPr>
      </w:pPr>
      <w:r w:rsidRPr="00B63DB1">
        <w:rPr>
          <w:rFonts w:ascii="等线" w:eastAsia="等线" w:hAnsi="等线"/>
          <w:b/>
          <w:sz w:val="24"/>
        </w:rPr>
        <w:t>Professional Qualification</w:t>
      </w:r>
    </w:p>
    <w:p w14:paraId="38B47F1B" w14:textId="77777777" w:rsidR="00B63DB1" w:rsidRDefault="00B63DB1" w:rsidP="00B63DB1">
      <w:pPr>
        <w:pStyle w:val="af5"/>
        <w:numPr>
          <w:ilvl w:val="0"/>
          <w:numId w:val="18"/>
        </w:numPr>
        <w:spacing w:before="120"/>
        <w:ind w:left="690" w:hanging="240"/>
        <w:rPr>
          <w:rFonts w:ascii="等线" w:eastAsia="等线" w:hAnsi="Times New Roman"/>
          <w:color w:val="000000"/>
        </w:rPr>
      </w:pPr>
      <w:r w:rsidRPr="00B63DB1">
        <w:rPr>
          <w:rFonts w:ascii="等线" w:eastAsia="等线" w:hAnsi="Times New Roman"/>
          <w:color w:val="000000"/>
        </w:rPr>
        <w:t>Admitted to practice in Hong Kong SAR</w:t>
      </w:r>
    </w:p>
    <w:p w14:paraId="2930924C" w14:textId="77777777" w:rsidR="00B63DB1" w:rsidRDefault="00B63DB1" w:rsidP="00B63DB1">
      <w:pPr>
        <w:pStyle w:val="af5"/>
        <w:numPr>
          <w:ilvl w:val="0"/>
          <w:numId w:val="19"/>
        </w:numPr>
        <w:spacing w:before="120"/>
        <w:ind w:left="690" w:hanging="240"/>
        <w:rPr>
          <w:rFonts w:ascii="等线" w:eastAsia="等线" w:hAnsi="Times New Roman"/>
          <w:color w:val="000000"/>
        </w:rPr>
      </w:pPr>
      <w:r w:rsidRPr="00B63DB1">
        <w:rPr>
          <w:rFonts w:ascii="等线" w:eastAsia="等线" w:hAnsi="Times New Roman"/>
          <w:color w:val="000000"/>
        </w:rPr>
        <w:t>Admitted to practice in the PRC</w:t>
      </w:r>
    </w:p>
    <w:p w14:paraId="363B5C63" w14:textId="77777777" w:rsidR="00B63DB1" w:rsidRDefault="00B63DB1" w:rsidP="00B63DB1">
      <w:pPr>
        <w:pStyle w:val="af5"/>
        <w:numPr>
          <w:ilvl w:val="0"/>
          <w:numId w:val="20"/>
        </w:numPr>
        <w:spacing w:before="120"/>
        <w:ind w:left="690" w:hanging="240"/>
        <w:rPr>
          <w:rFonts w:ascii="等线" w:eastAsia="等线" w:hAnsi="Times New Roman"/>
          <w:color w:val="000000"/>
        </w:rPr>
      </w:pPr>
      <w:r w:rsidRPr="00B63DB1">
        <w:rPr>
          <w:rFonts w:ascii="等线" w:eastAsia="等线" w:hAnsi="Times New Roman"/>
          <w:color w:val="000000"/>
        </w:rPr>
        <w:t>Admitted to practice in New York</w:t>
      </w:r>
    </w:p>
    <w:p w14:paraId="2D191BC7" w14:textId="77777777" w:rsidR="00B63DB1" w:rsidRDefault="00B63DB1" w:rsidP="00B63DB1">
      <w:pPr>
        <w:pStyle w:val="af5"/>
        <w:spacing w:after="0" w:line="480" w:lineRule="auto"/>
        <w:rPr>
          <w:rFonts w:ascii="等线" w:eastAsia="等线" w:hAnsi="等线"/>
          <w:b/>
          <w:sz w:val="24"/>
        </w:rPr>
      </w:pPr>
      <w:r w:rsidRPr="00B63DB1">
        <w:rPr>
          <w:rFonts w:ascii="等线" w:eastAsia="等线" w:hAnsi="等线"/>
          <w:b/>
          <w:sz w:val="24"/>
        </w:rPr>
        <w:t>Professional Background</w:t>
      </w:r>
    </w:p>
    <w:p w14:paraId="2D232666" w14:textId="77777777" w:rsidR="00B63DB1" w:rsidRDefault="00B63DB1" w:rsidP="00B63DB1">
      <w:pPr>
        <w:pStyle w:val="af5"/>
        <w:numPr>
          <w:ilvl w:val="0"/>
          <w:numId w:val="21"/>
        </w:numPr>
        <w:spacing w:before="120"/>
        <w:ind w:left="690" w:hanging="240"/>
        <w:rPr>
          <w:rFonts w:ascii="等线" w:eastAsia="等线" w:hAnsi="Times New Roman"/>
          <w:color w:val="000000"/>
        </w:rPr>
      </w:pPr>
      <w:r w:rsidRPr="00B63DB1">
        <w:rPr>
          <w:rFonts w:ascii="等线" w:eastAsia="等线" w:hAnsi="Times New Roman"/>
          <w:color w:val="000000"/>
        </w:rPr>
        <w:t xml:space="preserve">Annie Shen is a distinguished Capital Markets Partner with over 20 years of experience at the intersection of Wall Street rigor and Asian market growth. Following a formative decade at a top wall street law firm, she has spent nearly nine years as a Partner at Fangda Partners, where she leads a practice at the forefront of financial innovation. Annie is a recognized pioneer in the convergence of traditional finance and the digital economy, having architected &amp;quot;world-first&amp;quot; and &amp;quot;Asia-first&amp;quot; structures in RWA (Real World Assets) and tokenization. Triple-qualified in the US, HK, and PRC, she is consistently ranked by IFLR1000 as a &amp;quot;Women Leader&amp;quot; and </w:t>
      </w:r>
      <w:r w:rsidRPr="00B63DB1">
        <w:rPr>
          <w:rFonts w:ascii="等线" w:eastAsia="等线" w:hAnsi="Times New Roman"/>
          <w:color w:val="000000"/>
        </w:rPr>
        <w:t>“</w:t>
      </w:r>
      <w:r w:rsidRPr="00B63DB1">
        <w:rPr>
          <w:rFonts w:ascii="等线" w:eastAsia="等线" w:hAnsi="Times New Roman"/>
          <w:color w:val="000000"/>
        </w:rPr>
        <w:t>Highly Regarded</w:t>
      </w:r>
      <w:r w:rsidRPr="00B63DB1">
        <w:rPr>
          <w:rFonts w:ascii="等线" w:eastAsia="等线" w:hAnsi="Times New Roman"/>
          <w:color w:val="000000"/>
        </w:rPr>
        <w:t>”</w:t>
      </w:r>
      <w:r w:rsidRPr="00B63DB1">
        <w:rPr>
          <w:rFonts w:ascii="等线" w:eastAsia="等线" w:hAnsi="Times New Roman"/>
          <w:color w:val="000000"/>
        </w:rPr>
        <w:t xml:space="preserve"> lawyer (2022</w:t>
      </w:r>
      <w:r w:rsidRPr="00B63DB1">
        <w:rPr>
          <w:rFonts w:ascii="等线" w:eastAsia="等线" w:hAnsi="Times New Roman"/>
          <w:color w:val="000000"/>
        </w:rPr>
        <w:t>–</w:t>
      </w:r>
      <w:r w:rsidRPr="00B63DB1">
        <w:rPr>
          <w:rFonts w:ascii="等线" w:eastAsia="等线" w:hAnsi="Times New Roman"/>
          <w:color w:val="000000"/>
        </w:rPr>
        <w:t>2026).</w:t>
      </w:r>
    </w:p>
    <w:p w14:paraId="6CB4CFAB" w14:textId="77777777" w:rsidR="00B63DB1" w:rsidRDefault="00B63DB1" w:rsidP="00B63DB1">
      <w:pPr>
        <w:pStyle w:val="af5"/>
        <w:spacing w:after="0" w:line="480" w:lineRule="auto"/>
        <w:rPr>
          <w:rFonts w:ascii="等线" w:eastAsia="等线" w:hAnsi="等线"/>
          <w:b/>
          <w:sz w:val="24"/>
        </w:rPr>
      </w:pPr>
      <w:r w:rsidRPr="00B63DB1">
        <w:rPr>
          <w:rFonts w:ascii="等线" w:eastAsia="等线" w:hAnsi="等线"/>
          <w:b/>
          <w:sz w:val="24"/>
        </w:rPr>
        <w:t>OTHER INFORMATION</w:t>
      </w:r>
    </w:p>
    <w:p w14:paraId="7EDBB10E" w14:textId="77777777" w:rsidR="00B63DB1" w:rsidRDefault="00B63DB1" w:rsidP="00B63DB1">
      <w:pPr>
        <w:pStyle w:val="af5"/>
        <w:spacing w:after="0" w:line="480" w:lineRule="auto"/>
        <w:rPr>
          <w:rFonts w:ascii="等线" w:eastAsia="等线" w:hAnsi="等线"/>
          <w:b/>
          <w:sz w:val="24"/>
        </w:rPr>
      </w:pPr>
      <w:r w:rsidRPr="00B63DB1">
        <w:rPr>
          <w:rFonts w:ascii="等线" w:eastAsia="等线" w:hAnsi="等线"/>
          <w:b/>
          <w:sz w:val="24"/>
        </w:rPr>
        <w:t>Publications</w:t>
      </w:r>
    </w:p>
    <w:p w14:paraId="2ECD11C2" w14:textId="77777777" w:rsidR="00B63DB1" w:rsidRDefault="00B63DB1" w:rsidP="00B63DB1">
      <w:pPr>
        <w:pStyle w:val="af5"/>
        <w:numPr>
          <w:ilvl w:val="0"/>
          <w:numId w:val="22"/>
        </w:numPr>
        <w:spacing w:before="120"/>
        <w:ind w:left="690" w:hanging="240"/>
        <w:rPr>
          <w:rFonts w:ascii="等线" w:eastAsia="等线" w:hAnsi="Times New Roman"/>
          <w:color w:val="000000"/>
        </w:rPr>
      </w:pPr>
      <w:r w:rsidRPr="00B63DB1">
        <w:rPr>
          <w:rFonts w:ascii="等线" w:eastAsia="等线" w:hAnsi="Times New Roman"/>
          <w:color w:val="000000"/>
        </w:rPr>
        <w:t>Assessing China</w:t>
      </w:r>
      <w:r w:rsidRPr="00B63DB1">
        <w:rPr>
          <w:rFonts w:ascii="等线" w:eastAsia="等线" w:hAnsi="Times New Roman"/>
          <w:color w:val="000000"/>
        </w:rPr>
        <w:t>’</w:t>
      </w:r>
      <w:r w:rsidRPr="00B63DB1">
        <w:rPr>
          <w:rFonts w:ascii="等线" w:eastAsia="等线" w:hAnsi="Times New Roman"/>
          <w:color w:val="000000"/>
        </w:rPr>
        <w:t>s Top-down Securities Market: co-authored with William T. Allen (Chancellor of the Delaware Court of Chancery and Professor at NYU Law). Published in the NBER volume Capitalizing China, which provides a comprehensive analysis of the evolution of China</w:t>
      </w:r>
      <w:r w:rsidRPr="00B63DB1">
        <w:rPr>
          <w:rFonts w:ascii="等线" w:eastAsia="等线" w:hAnsi="Times New Roman"/>
          <w:color w:val="000000"/>
        </w:rPr>
        <w:t>’</w:t>
      </w:r>
      <w:r w:rsidRPr="00B63DB1">
        <w:rPr>
          <w:rFonts w:ascii="等线" w:eastAsia="等线" w:hAnsi="Times New Roman"/>
          <w:color w:val="000000"/>
        </w:rPr>
        <w:t xml:space="preserve">s securities markets. </w:t>
      </w:r>
    </w:p>
    <w:p w14:paraId="62D003FA" w14:textId="77777777" w:rsidR="00B63DB1" w:rsidRDefault="00B63DB1" w:rsidP="00B63DB1">
      <w:pPr>
        <w:pStyle w:val="af5"/>
        <w:numPr>
          <w:ilvl w:val="0"/>
          <w:numId w:val="23"/>
        </w:numPr>
        <w:spacing w:before="120"/>
        <w:ind w:left="690" w:hanging="240"/>
        <w:rPr>
          <w:rFonts w:ascii="等线" w:eastAsia="等线" w:hAnsi="Times New Roman"/>
          <w:color w:val="000000"/>
        </w:rPr>
      </w:pPr>
      <w:r w:rsidRPr="00B63DB1">
        <w:rPr>
          <w:rFonts w:ascii="等线" w:eastAsia="等线" w:hAnsi="Times New Roman"/>
          <w:color w:val="000000"/>
        </w:rPr>
        <w:t xml:space="preserve">Digital Asset Expertise: </w:t>
      </w:r>
      <w:r w:rsidRPr="00B63DB1">
        <w:rPr>
          <w:rFonts w:ascii="等线" w:eastAsia="等线" w:hAnsi="Times New Roman"/>
          <w:color w:val="000000"/>
        </w:rPr>
        <w:t>“</w:t>
      </w:r>
      <w:r w:rsidRPr="00B63DB1">
        <w:rPr>
          <w:rFonts w:ascii="等线" w:eastAsia="等线" w:hAnsi="Times New Roman"/>
          <w:color w:val="000000"/>
        </w:rPr>
        <w:t>The Mainland Regulatory Perimeter: Digital Asset Restrictions and Cross-Border Enforcement</w:t>
      </w:r>
      <w:r w:rsidRPr="00B63DB1">
        <w:rPr>
          <w:rFonts w:ascii="等线" w:eastAsia="等线" w:hAnsi="Times New Roman"/>
          <w:color w:val="000000"/>
        </w:rPr>
        <w:t>”</w:t>
      </w:r>
      <w:r w:rsidRPr="00B63DB1">
        <w:rPr>
          <w:rFonts w:ascii="等线" w:eastAsia="等线" w:hAnsi="Times New Roman"/>
          <w:color w:val="000000"/>
        </w:rPr>
        <w:t>, presented at Digital Assets Association</w:t>
      </w:r>
      <w:r w:rsidRPr="00B63DB1">
        <w:rPr>
          <w:rFonts w:ascii="等线" w:eastAsia="等线" w:hAnsi="Times New Roman"/>
          <w:color w:val="000000"/>
        </w:rPr>
        <w:t>’</w:t>
      </w:r>
      <w:r w:rsidRPr="00B63DB1">
        <w:rPr>
          <w:rFonts w:ascii="等线" w:eastAsia="等线" w:hAnsi="Times New Roman"/>
          <w:color w:val="000000"/>
        </w:rPr>
        <w:t xml:space="preserve">s seminar </w:t>
      </w:r>
      <w:r w:rsidRPr="00B63DB1">
        <w:rPr>
          <w:rFonts w:ascii="等线" w:eastAsia="等线" w:hAnsi="Times New Roman"/>
          <w:color w:val="000000"/>
        </w:rPr>
        <w:t>“</w:t>
      </w:r>
      <w:r w:rsidRPr="00B63DB1">
        <w:rPr>
          <w:rFonts w:ascii="等线" w:eastAsia="等线" w:hAnsi="Times New Roman"/>
          <w:color w:val="000000"/>
        </w:rPr>
        <w:t>The Regulatory Perimeter: Navigating Mainland China's Digital Asset Restrictions and Cross-Border Enforcement</w:t>
      </w:r>
      <w:r w:rsidRPr="00B63DB1">
        <w:rPr>
          <w:rFonts w:ascii="等线" w:eastAsia="等线" w:hAnsi="Times New Roman"/>
          <w:color w:val="000000"/>
        </w:rPr>
        <w:t>”</w:t>
      </w:r>
      <w:r w:rsidRPr="00B63DB1">
        <w:rPr>
          <w:rFonts w:ascii="等线" w:eastAsia="等线" w:hAnsi="Times New Roman"/>
          <w:color w:val="000000"/>
        </w:rPr>
        <w:t xml:space="preserve">, 2026 </w:t>
      </w:r>
    </w:p>
    <w:p w14:paraId="14C024AB" w14:textId="77777777" w:rsidR="00B63DB1" w:rsidRDefault="00B63DB1" w:rsidP="00B63DB1">
      <w:pPr>
        <w:pStyle w:val="af5"/>
        <w:numPr>
          <w:ilvl w:val="0"/>
          <w:numId w:val="24"/>
        </w:numPr>
        <w:spacing w:before="120"/>
        <w:ind w:left="690" w:hanging="240"/>
        <w:rPr>
          <w:rFonts w:ascii="等线" w:eastAsia="等线" w:hAnsi="Times New Roman"/>
          <w:color w:val="000000"/>
        </w:rPr>
      </w:pPr>
      <w:r w:rsidRPr="00B63DB1">
        <w:rPr>
          <w:rFonts w:ascii="等线" w:eastAsia="等线" w:hAnsi="Times New Roman"/>
          <w:color w:val="000000"/>
        </w:rPr>
        <w:t>World Bank: Long-term contributor to the Doing Business (China chapter) research program</w:t>
      </w:r>
      <w:r w:rsidRPr="00B63DB1">
        <w:rPr>
          <w:rFonts w:ascii="等线" w:eastAsia="等线" w:hAnsi="Times New Roman"/>
          <w:color w:val="000000"/>
        </w:rPr>
        <w:t> </w:t>
      </w:r>
      <w:r w:rsidRPr="00B63DB1">
        <w:rPr>
          <w:rFonts w:ascii="等线" w:eastAsia="等线" w:hAnsi="Times New Roman"/>
          <w:color w:val="000000"/>
        </w:rPr>
        <w:t xml:space="preserve"> </w:t>
      </w:r>
    </w:p>
    <w:p w14:paraId="295D3E28" w14:textId="77777777" w:rsidR="00B63DB1" w:rsidRDefault="00B63DB1" w:rsidP="00B63DB1">
      <w:pPr>
        <w:pStyle w:val="af5"/>
        <w:spacing w:after="0" w:line="480" w:lineRule="auto"/>
        <w:rPr>
          <w:rFonts w:ascii="等线" w:eastAsia="等线" w:hAnsi="等线"/>
          <w:b/>
          <w:sz w:val="24"/>
        </w:rPr>
      </w:pPr>
      <w:r w:rsidRPr="00B63DB1">
        <w:rPr>
          <w:rFonts w:ascii="等线" w:eastAsia="等线" w:hAnsi="等线"/>
          <w:b/>
          <w:sz w:val="24"/>
        </w:rPr>
        <w:t>Professional Affiliations</w:t>
      </w:r>
    </w:p>
    <w:p w14:paraId="4BEFCF11" w14:textId="77777777" w:rsidR="00B63DB1" w:rsidRDefault="00B63DB1" w:rsidP="00B63DB1">
      <w:pPr>
        <w:pStyle w:val="af5"/>
        <w:numPr>
          <w:ilvl w:val="0"/>
          <w:numId w:val="25"/>
        </w:numPr>
        <w:spacing w:before="120"/>
        <w:ind w:left="690" w:hanging="240"/>
        <w:rPr>
          <w:rFonts w:ascii="等线" w:eastAsia="等线" w:hAnsi="Times New Roman"/>
          <w:color w:val="000000"/>
        </w:rPr>
      </w:pPr>
      <w:r w:rsidRPr="00B63DB1">
        <w:rPr>
          <w:rFonts w:ascii="等线" w:eastAsia="等线" w:hAnsi="Times New Roman"/>
          <w:color w:val="000000"/>
        </w:rPr>
        <w:t xml:space="preserve">Committee member, Asian Affairs Committee, New York City Bar Association (2026-2029) </w:t>
      </w:r>
    </w:p>
    <w:p w14:paraId="5567FC3C" w14:textId="53DD8C06" w:rsidR="00686369" w:rsidRPr="00B63DB1" w:rsidRDefault="00B63DB1" w:rsidP="00B63DB1">
      <w:pPr>
        <w:pStyle w:val="af5"/>
        <w:numPr>
          <w:ilvl w:val="0"/>
          <w:numId w:val="26"/>
        </w:numPr>
        <w:spacing w:before="120"/>
        <w:ind w:left="690" w:hanging="240"/>
        <w:rPr>
          <w:rFonts w:ascii="等线" w:eastAsia="等线" w:hAnsi="Times New Roman"/>
          <w:color w:val="000000"/>
        </w:rPr>
      </w:pPr>
      <w:r w:rsidRPr="00B63DB1">
        <w:rPr>
          <w:rFonts w:ascii="等线" w:eastAsia="等线" w:hAnsi="Times New Roman"/>
          <w:color w:val="000000"/>
        </w:rPr>
        <w:t xml:space="preserve">Member, Digital Asset Association </w:t>
      </w:r>
    </w:p>
    <w:sectPr w:rsidR="00686369" w:rsidRPr="00B63DB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C64C7"/>
    <w:multiLevelType w:val="singleLevel"/>
    <w:tmpl w:val="11509B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F73768"/>
    <w:multiLevelType w:val="singleLevel"/>
    <w:tmpl w:val="BDC003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BA4959"/>
    <w:multiLevelType w:val="singleLevel"/>
    <w:tmpl w:val="5CC450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3C9055E"/>
    <w:multiLevelType w:val="singleLevel"/>
    <w:tmpl w:val="A5C60C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82C48BC"/>
    <w:multiLevelType w:val="singleLevel"/>
    <w:tmpl w:val="56904E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AEB3752"/>
    <w:multiLevelType w:val="singleLevel"/>
    <w:tmpl w:val="709801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43A4460"/>
    <w:multiLevelType w:val="singleLevel"/>
    <w:tmpl w:val="EAA0AC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47D3D20"/>
    <w:multiLevelType w:val="singleLevel"/>
    <w:tmpl w:val="EDB4AC5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5AA5D1A"/>
    <w:multiLevelType w:val="singleLevel"/>
    <w:tmpl w:val="EAA0AC3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5B442B1"/>
    <w:multiLevelType w:val="singleLevel"/>
    <w:tmpl w:val="5C4C513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D0218DE"/>
    <w:multiLevelType w:val="singleLevel"/>
    <w:tmpl w:val="EEF24FD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2100532"/>
    <w:multiLevelType w:val="singleLevel"/>
    <w:tmpl w:val="807CB1C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3F22061"/>
    <w:multiLevelType w:val="singleLevel"/>
    <w:tmpl w:val="FCCA5D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591628A"/>
    <w:multiLevelType w:val="singleLevel"/>
    <w:tmpl w:val="7804ADC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E5E7565"/>
    <w:multiLevelType w:val="singleLevel"/>
    <w:tmpl w:val="85E65EE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7E87E6C"/>
    <w:multiLevelType w:val="singleLevel"/>
    <w:tmpl w:val="8EB8B81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B527A90"/>
    <w:multiLevelType w:val="singleLevel"/>
    <w:tmpl w:val="BDC23C8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BC659EB"/>
    <w:multiLevelType w:val="singleLevel"/>
    <w:tmpl w:val="1CD8F48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C0079B3"/>
    <w:multiLevelType w:val="singleLevel"/>
    <w:tmpl w:val="420AD73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1656DA2"/>
    <w:multiLevelType w:val="singleLevel"/>
    <w:tmpl w:val="3102727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2C52ECA"/>
    <w:multiLevelType w:val="singleLevel"/>
    <w:tmpl w:val="437C727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0D784D"/>
    <w:multiLevelType w:val="singleLevel"/>
    <w:tmpl w:val="0C30D57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ED0115"/>
    <w:multiLevelType w:val="singleLevel"/>
    <w:tmpl w:val="F4422B5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B762164"/>
    <w:multiLevelType w:val="singleLevel"/>
    <w:tmpl w:val="75604C42"/>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0"/>
  </w:num>
  <w:num w:numId="4">
    <w:abstractNumId w:val="25"/>
  </w:num>
  <w:num w:numId="5">
    <w:abstractNumId w:val="19"/>
  </w:num>
  <w:num w:numId="6">
    <w:abstractNumId w:val="22"/>
  </w:num>
  <w:num w:numId="7">
    <w:abstractNumId w:val="11"/>
  </w:num>
  <w:num w:numId="8">
    <w:abstractNumId w:val="24"/>
  </w:num>
  <w:num w:numId="9">
    <w:abstractNumId w:val="5"/>
  </w:num>
  <w:num w:numId="10">
    <w:abstractNumId w:val="15"/>
  </w:num>
  <w:num w:numId="11">
    <w:abstractNumId w:val="1"/>
  </w:num>
  <w:num w:numId="12">
    <w:abstractNumId w:val="23"/>
  </w:num>
  <w:num w:numId="13">
    <w:abstractNumId w:val="20"/>
  </w:num>
  <w:num w:numId="14">
    <w:abstractNumId w:val="3"/>
  </w:num>
  <w:num w:numId="15">
    <w:abstractNumId w:val="2"/>
  </w:num>
  <w:num w:numId="16">
    <w:abstractNumId w:val="14"/>
  </w:num>
  <w:num w:numId="17">
    <w:abstractNumId w:val="21"/>
  </w:num>
  <w:num w:numId="18">
    <w:abstractNumId w:val="12"/>
  </w:num>
  <w:num w:numId="19">
    <w:abstractNumId w:val="4"/>
  </w:num>
  <w:num w:numId="20">
    <w:abstractNumId w:val="17"/>
  </w:num>
  <w:num w:numId="21">
    <w:abstractNumId w:val="16"/>
  </w:num>
  <w:num w:numId="22">
    <w:abstractNumId w:val="13"/>
  </w:num>
  <w:num w:numId="23">
    <w:abstractNumId w:val="18"/>
  </w:num>
  <w:num w:numId="24">
    <w:abstractNumId w:val="9"/>
  </w:num>
  <w:num w:numId="25">
    <w:abstractNumId w:val="7"/>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3DB1"/>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63DB1"/>
    <w:pPr>
      <w:spacing w:after="120"/>
    </w:pPr>
  </w:style>
  <w:style w:type="character" w:customStyle="1" w:styleId="af6">
    <w:name w:val="正文文本 字符"/>
    <w:basedOn w:val="a0"/>
    <w:link w:val="af5"/>
    <w:uiPriority w:val="99"/>
    <w:rsid w:val="00B63DB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657F6-C8F9-4D06-958D-27AB5C07E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648</Words>
  <Characters>3697</Characters>
  <Application>Microsoft Office Word</Application>
  <DocSecurity>0</DocSecurity>
  <Lines>30</Lines>
  <Paragraphs>8</Paragraphs>
  <ScaleCrop>false</ScaleCrop>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2026-07-16T15:57:00Z</dcterms:created>
  <dcterms:modified xsi:type="dcterms:W3CDTF">2026-07-16T15:57:00Z</dcterms:modified>
</cp:coreProperties>
</file>