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7EF495" w:rsidR="0049405C" w:rsidRPr="00187BAA" w:rsidRDefault="00C87BDF" w:rsidP="00C87BDF">
            <w:pPr>
              <w:spacing w:line="720" w:lineRule="auto"/>
              <w:rPr>
                <w:rFonts w:ascii="宋体" w:eastAsia="宋体" w:hAnsi="宋体"/>
                <w:color w:val="545551"/>
              </w:rPr>
            </w:pPr>
            <w:bookmarkStart w:id="0" w:name="xingming"/>
            <w:bookmarkStart w:id="1" w:name="_GoBack"/>
            <w:bookmarkEnd w:id="1"/>
            <w:r w:rsidRPr="00C87BDF">
              <w:rPr>
                <w:rFonts w:ascii="宋体" w:eastAsia="宋体" w:hAnsi="Times New Roman" w:hint="eastAsia"/>
                <w:b/>
                <w:color w:val="000000"/>
                <w:sz w:val="48"/>
              </w:rPr>
              <w:t>李春</w:t>
            </w:r>
            <w:bookmarkEnd w:id="0"/>
          </w:p>
          <w:p w14:paraId="706EB16B" w14:textId="1379BCC4" w:rsidR="0049405C" w:rsidRPr="00187BAA" w:rsidRDefault="00C87BDF" w:rsidP="00C87BDF">
            <w:pPr>
              <w:spacing w:line="360" w:lineRule="auto"/>
              <w:rPr>
                <w:rFonts w:ascii="宋体" w:eastAsia="宋体" w:hAnsi="宋体"/>
                <w:b/>
                <w:bCs/>
                <w:color w:val="545551"/>
              </w:rPr>
            </w:pPr>
            <w:bookmarkStart w:id="2" w:name="didian"/>
            <w:r w:rsidRPr="00C87BDF">
              <w:rPr>
                <w:rFonts w:ascii="宋体" w:eastAsia="宋体" w:hAnsi="Times New Roman" w:hint="eastAsia"/>
                <w:b/>
                <w:bCs/>
                <w:color w:val="000000"/>
              </w:rPr>
              <w:t>合伙人·上海</w:t>
            </w:r>
            <w:bookmarkEnd w:id="2"/>
          </w:p>
          <w:p w14:paraId="6199424A" w14:textId="404B6D5D" w:rsidR="0049405C" w:rsidRPr="00187BAA" w:rsidRDefault="00C87BDF" w:rsidP="00C87BDF">
            <w:pPr>
              <w:spacing w:line="360" w:lineRule="auto"/>
              <w:rPr>
                <w:rFonts w:ascii="宋体" w:eastAsia="宋体" w:hAnsi="宋体"/>
                <w:color w:val="545551"/>
              </w:rPr>
            </w:pPr>
            <w:bookmarkStart w:id="3" w:name="dianhua"/>
            <w:r w:rsidRPr="00C87BDF">
              <w:rPr>
                <w:rFonts w:ascii="宋体" w:eastAsia="宋体" w:hAnsi="Times New Roman"/>
                <w:color w:val="000000"/>
              </w:rPr>
              <w:t xml:space="preserve">+86 21 2208 1020 </w:t>
            </w:r>
            <w:bookmarkEnd w:id="3"/>
          </w:p>
          <w:p w14:paraId="4F910ACA" w14:textId="28AF7189" w:rsidR="0049405C" w:rsidRPr="00187BAA" w:rsidRDefault="00C87BDF" w:rsidP="00C87BDF">
            <w:pPr>
              <w:spacing w:line="360" w:lineRule="auto"/>
              <w:rPr>
                <w:rFonts w:ascii="宋体" w:eastAsia="宋体" w:hAnsi="宋体"/>
                <w:color w:val="000000"/>
              </w:rPr>
            </w:pPr>
            <w:bookmarkStart w:id="4" w:name="youxiang"/>
            <w:r w:rsidRPr="00C87BDF">
              <w:rPr>
                <w:rFonts w:ascii="宋体" w:eastAsia="宋体" w:hAnsi="Times New Roman"/>
                <w:color w:val="000000"/>
              </w:rPr>
              <w:t>jason.li@fangdalaw.com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D98114" w:rsidR="0049405C" w:rsidRPr="00187BAA" w:rsidRDefault="00C87BD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399DC1" wp14:editId="26E5C9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DA36C0F" w:rsidR="009465FB" w:rsidRPr="00187BAA" w:rsidRDefault="00C87BDF" w:rsidP="007177F3">
            <w:pPr>
              <w:rPr>
                <w:rFonts w:ascii="宋体" w:eastAsia="宋体" w:hAnsi="宋体"/>
                <w:color w:val="000000"/>
                <w:szCs w:val="21"/>
              </w:rPr>
            </w:pPr>
            <w:bookmarkStart w:id="6" w:name="zhiyelingyu"/>
            <w:r w:rsidRPr="00C87BDF">
              <w:rPr>
                <w:rFonts w:ascii="宋体" w:eastAsia="宋体" w:hAnsi="Times New Roman" w:hint="eastAsia"/>
                <w:color w:val="000000"/>
                <w:szCs w:val="21"/>
              </w:rPr>
              <w:t>李春律师的执业领域是公司、金融商事争议解决及破产。李律师擅长处理包括公司、金融、合同以及破产等方面的法律实务问题。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2E6D5E" w14:textId="77777777" w:rsidR="00C87BD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950AD9" w14:textId="77777777" w:rsidR="00C87BDF" w:rsidRDefault="00C87BDF" w:rsidP="00C87BDF">
      <w:pPr>
        <w:pStyle w:val="af5"/>
        <w:spacing w:before="120"/>
        <w:rPr>
          <w:rFonts w:ascii="宋体" w:eastAsia="宋体" w:hAnsi="Times New Roman"/>
          <w:color w:val="000000"/>
        </w:rPr>
      </w:pPr>
      <w:r w:rsidRPr="00C87BDF">
        <w:rPr>
          <w:rFonts w:ascii="宋体" w:eastAsia="宋体" w:hAnsi="Times New Roman" w:hint="eastAsia"/>
          <w:color w:val="000000"/>
        </w:rPr>
        <w:t>在</w:t>
      </w:r>
      <w:r w:rsidRPr="00C87BDF">
        <w:rPr>
          <w:rFonts w:ascii="宋体" w:eastAsia="宋体" w:hAnsi="Times New Roman"/>
          <w:color w:val="000000"/>
        </w:rPr>
        <w:t>2012年底加入本所之前，李律师曾在上海市法院系统工作超过十五年。</w:t>
      </w:r>
    </w:p>
    <w:p w14:paraId="02A8A86E" w14:textId="77777777" w:rsidR="00C87BDF" w:rsidRDefault="00C87BDF" w:rsidP="00C87BDF">
      <w:pPr>
        <w:pStyle w:val="af5"/>
        <w:spacing w:before="120"/>
        <w:rPr>
          <w:rFonts w:ascii="宋体" w:eastAsia="宋体" w:hAnsi="Times New Roman"/>
          <w:color w:val="000000"/>
        </w:rPr>
      </w:pPr>
      <w:r w:rsidRPr="00C87BDF">
        <w:rPr>
          <w:rFonts w:ascii="宋体" w:eastAsia="宋体" w:hAnsi="Times New Roman" w:hint="eastAsia"/>
          <w:color w:val="000000"/>
        </w:rPr>
        <w:t>加入本所之后，李律师主要为客户处理公司和金融领域的仲裁和诉讼法律服务工作。李律师与团队一起，为客户在重大项目和案件中提供法律咨询服务，并作为主管代表律师帮助客户处理了大量复杂的仲裁、诉讼争议案件。</w:t>
      </w:r>
    </w:p>
    <w:p w14:paraId="01061059" w14:textId="77777777" w:rsidR="00C87BDF" w:rsidRDefault="00C87BDF" w:rsidP="00C87BDF">
      <w:pPr>
        <w:pStyle w:val="af5"/>
        <w:spacing w:after="0" w:line="480" w:lineRule="auto"/>
        <w:rPr>
          <w:rFonts w:ascii="宋体" w:eastAsia="宋体" w:hAnsi="宋体"/>
          <w:b/>
          <w:sz w:val="24"/>
        </w:rPr>
      </w:pPr>
      <w:r w:rsidRPr="00C87BDF">
        <w:rPr>
          <w:rFonts w:ascii="宋体" w:eastAsia="宋体" w:hAnsi="宋体" w:hint="eastAsia"/>
          <w:b/>
          <w:sz w:val="24"/>
        </w:rPr>
        <w:t>近期代理的主要案件</w:t>
      </w:r>
    </w:p>
    <w:p w14:paraId="263C18B8" w14:textId="77777777" w:rsidR="00C87BDF" w:rsidRDefault="00C87BDF" w:rsidP="00C87BDF">
      <w:pPr>
        <w:pStyle w:val="af5"/>
        <w:spacing w:before="120"/>
        <w:rPr>
          <w:rFonts w:ascii="宋体" w:eastAsia="宋体" w:hAnsi="Times New Roman"/>
          <w:color w:val="000000"/>
        </w:rPr>
      </w:pPr>
      <w:r w:rsidRPr="00C87BDF">
        <w:rPr>
          <w:rFonts w:ascii="宋体" w:eastAsia="宋体" w:hAnsi="Times New Roman" w:hint="eastAsia"/>
          <w:color w:val="000000"/>
        </w:rPr>
        <w:t>公司法方向</w:t>
      </w:r>
    </w:p>
    <w:p w14:paraId="0DBC0D57" w14:textId="77777777" w:rsidR="00C87BDF" w:rsidRDefault="00C87BDF" w:rsidP="00C87BDF">
      <w:pPr>
        <w:pStyle w:val="af5"/>
        <w:numPr>
          <w:ilvl w:val="0"/>
          <w:numId w:val="1"/>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代表一家大型国有资产管理公司在安徽法院涉提起涉及上市公司股权处置的股东会决议效力诉讼，并获得终审胜诉判决</w:t>
      </w:r>
    </w:p>
    <w:p w14:paraId="1F126028" w14:textId="77777777" w:rsidR="00C87BDF" w:rsidRDefault="00C87BDF" w:rsidP="00C87BDF">
      <w:pPr>
        <w:pStyle w:val="af5"/>
        <w:numPr>
          <w:ilvl w:val="0"/>
          <w:numId w:val="2"/>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代表一家外资公司在安徽法院应对并购标的公司债权人提起的损害赔偿诉讼，并获得二审法院改判一审判决的终审胜诉判决</w:t>
      </w:r>
    </w:p>
    <w:p w14:paraId="4D34868D" w14:textId="77777777" w:rsidR="00C87BDF" w:rsidRDefault="00C87BDF" w:rsidP="00C87BDF">
      <w:pPr>
        <w:pStyle w:val="af5"/>
        <w:numPr>
          <w:ilvl w:val="0"/>
          <w:numId w:val="3"/>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代表一家港资公司在上海法院提起隐名出资约定下的清算收益分配诉讼，并获得全额胜诉判决及全额清偿</w:t>
      </w:r>
    </w:p>
    <w:p w14:paraId="7AFA537E" w14:textId="77777777" w:rsidR="00C87BDF" w:rsidRDefault="00C87BDF" w:rsidP="00C87BDF">
      <w:pPr>
        <w:pStyle w:val="af5"/>
        <w:numPr>
          <w:ilvl w:val="0"/>
          <w:numId w:val="4"/>
        </w:numPr>
        <w:spacing w:before="120"/>
        <w:ind w:left="690" w:hanging="240"/>
        <w:rPr>
          <w:rFonts w:ascii="宋体" w:eastAsia="宋体" w:hAnsi="Times New Roman"/>
          <w:color w:val="000000"/>
        </w:rPr>
      </w:pPr>
      <w:r w:rsidRPr="00C87BDF">
        <w:rPr>
          <w:rFonts w:ascii="宋体" w:eastAsia="宋体" w:hAnsi="Times New Roman" w:hint="eastAsia"/>
          <w:color w:val="000000"/>
        </w:rPr>
        <w:t>代表一国内大型民企就中外合资企业中的股东分红、回购争议提供谈判及诉讼方案咨询服务，并以全额受偿和解</w:t>
      </w:r>
    </w:p>
    <w:p w14:paraId="63362652" w14:textId="77777777" w:rsidR="00C87BDF" w:rsidRDefault="00C87BDF" w:rsidP="00C87BDF">
      <w:pPr>
        <w:pStyle w:val="af5"/>
        <w:numPr>
          <w:ilvl w:val="0"/>
          <w:numId w:val="5"/>
        </w:numPr>
        <w:spacing w:before="120"/>
        <w:ind w:left="690" w:hanging="240"/>
        <w:rPr>
          <w:rFonts w:ascii="宋体" w:eastAsia="宋体" w:hAnsi="Times New Roman"/>
          <w:color w:val="000000"/>
        </w:rPr>
      </w:pPr>
      <w:r w:rsidRPr="00C87BDF">
        <w:rPr>
          <w:rFonts w:ascii="宋体" w:eastAsia="宋体" w:hAnsi="Times New Roman" w:hint="eastAsia"/>
          <w:color w:val="000000"/>
        </w:rPr>
        <w:t>为一家知名国企就上市公司恶意收购事宜召开的董事会会议效力争议提供诉讼方案的咨询和建议</w:t>
      </w:r>
    </w:p>
    <w:p w14:paraId="3E94EE30" w14:textId="77777777" w:rsidR="00C87BDF" w:rsidRDefault="00C87BDF" w:rsidP="00C87BDF">
      <w:pPr>
        <w:pStyle w:val="af5"/>
        <w:numPr>
          <w:ilvl w:val="0"/>
          <w:numId w:val="6"/>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代表一家大型投资集团处理云南法院受理的原股东起诉的航空公司股权转让系列案件，获得各案胜诉判决后与原股东各方进行整体商业和解</w:t>
      </w:r>
    </w:p>
    <w:p w14:paraId="723A7947" w14:textId="77777777" w:rsidR="00C87BDF" w:rsidRDefault="00C87BDF" w:rsidP="00C87BDF">
      <w:pPr>
        <w:pStyle w:val="af5"/>
        <w:numPr>
          <w:ilvl w:val="0"/>
          <w:numId w:val="7"/>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代表一家私募股权投资基金处理涉及第三方支付公司股权连环转让的仲裁争议，获得相对方全额支付仲裁请求金额的裁决</w:t>
      </w:r>
    </w:p>
    <w:p w14:paraId="5C31274C" w14:textId="77777777" w:rsidR="00C87BDF" w:rsidRDefault="00C87BDF" w:rsidP="00C87BDF">
      <w:pPr>
        <w:pStyle w:val="af5"/>
        <w:numPr>
          <w:ilvl w:val="0"/>
          <w:numId w:val="8"/>
        </w:numPr>
        <w:spacing w:before="120"/>
        <w:ind w:left="690" w:hanging="240"/>
        <w:rPr>
          <w:rFonts w:ascii="宋体" w:eastAsia="宋体" w:hAnsi="Times New Roman"/>
          <w:color w:val="000000"/>
        </w:rPr>
      </w:pPr>
      <w:r w:rsidRPr="00C87BDF">
        <w:rPr>
          <w:rFonts w:ascii="宋体" w:eastAsia="宋体" w:hAnsi="Times New Roman" w:hint="eastAsia"/>
          <w:color w:val="000000"/>
        </w:rPr>
        <w:t>正代表一家香港公司处理其与合资公司中方股东之间、与合资公司之间的系列争议案件，并已获得大部分案件的终审胜诉判决</w:t>
      </w:r>
    </w:p>
    <w:p w14:paraId="100F95A5" w14:textId="77777777" w:rsidR="00C87BDF" w:rsidRDefault="00C87BDF" w:rsidP="00C87BDF">
      <w:pPr>
        <w:pStyle w:val="af5"/>
        <w:numPr>
          <w:ilvl w:val="0"/>
          <w:numId w:val="9"/>
        </w:numPr>
        <w:spacing w:before="120"/>
        <w:ind w:left="690" w:hanging="240"/>
        <w:rPr>
          <w:rFonts w:ascii="宋体" w:eastAsia="宋体" w:hAnsi="Times New Roman"/>
          <w:color w:val="000000"/>
        </w:rPr>
      </w:pPr>
      <w:r w:rsidRPr="00C87BDF">
        <w:rPr>
          <w:rFonts w:ascii="宋体" w:eastAsia="宋体" w:hAnsi="Times New Roman" w:hint="eastAsia"/>
          <w:color w:val="000000"/>
        </w:rPr>
        <w:t>正代表一家民营控股集团在上海仲裁委处理其与一家上市公司之间涉及业绩对赌的并购交易仲裁程序，该等交易同时导致了一起重大刑事争议案件</w:t>
      </w:r>
    </w:p>
    <w:p w14:paraId="0034AA9F" w14:textId="77777777" w:rsidR="00C87BDF" w:rsidRDefault="00C87BDF" w:rsidP="00C87BDF">
      <w:pPr>
        <w:pStyle w:val="af5"/>
        <w:spacing w:before="120"/>
        <w:rPr>
          <w:rFonts w:ascii="宋体" w:eastAsia="宋体" w:hAnsi="Times New Roman"/>
          <w:color w:val="000000"/>
        </w:rPr>
      </w:pPr>
      <w:r w:rsidRPr="00C87BDF">
        <w:rPr>
          <w:rFonts w:ascii="宋体" w:eastAsia="宋体" w:hAnsi="Times New Roman" w:hint="eastAsia"/>
          <w:color w:val="000000"/>
        </w:rPr>
        <w:t>金融法方向</w:t>
      </w:r>
    </w:p>
    <w:p w14:paraId="26DC14FA" w14:textId="77777777" w:rsidR="00C87BDF" w:rsidRDefault="00C87BDF" w:rsidP="00C87BDF">
      <w:pPr>
        <w:pStyle w:val="af5"/>
        <w:numPr>
          <w:ilvl w:val="0"/>
          <w:numId w:val="10"/>
        </w:numPr>
        <w:spacing w:before="120"/>
        <w:ind w:left="690" w:hanging="240"/>
        <w:rPr>
          <w:rFonts w:ascii="宋体" w:eastAsia="宋体" w:hAnsi="Times New Roman"/>
          <w:color w:val="000000"/>
        </w:rPr>
      </w:pPr>
      <w:r w:rsidRPr="00C87BDF">
        <w:rPr>
          <w:rFonts w:ascii="宋体" w:eastAsia="宋体" w:hAnsi="Times New Roman" w:hint="eastAsia"/>
          <w:color w:val="000000"/>
        </w:rPr>
        <w:t>代表某外资银行处理中国贸仲委审理的多起金融衍生品争议仲裁，并获得全部案件的胜诉裁决</w:t>
      </w:r>
    </w:p>
    <w:p w14:paraId="040BCC18" w14:textId="77777777" w:rsidR="00C87BDF" w:rsidRDefault="00C87BDF" w:rsidP="00C87BDF">
      <w:pPr>
        <w:pStyle w:val="af5"/>
        <w:numPr>
          <w:ilvl w:val="0"/>
          <w:numId w:val="11"/>
        </w:numPr>
        <w:spacing w:before="120"/>
        <w:ind w:left="690" w:hanging="240"/>
        <w:rPr>
          <w:rFonts w:ascii="宋体" w:eastAsia="宋体" w:hAnsi="Times New Roman"/>
          <w:color w:val="000000"/>
        </w:rPr>
      </w:pPr>
      <w:r w:rsidRPr="00C87BDF">
        <w:rPr>
          <w:rFonts w:ascii="宋体" w:eastAsia="宋体" w:hAnsi="Times New Roman" w:hint="eastAsia"/>
          <w:color w:val="000000"/>
        </w:rPr>
        <w:t>代表某外资银行在天津高院和最高院进行大额贷款诉讼，获得终审胜诉判决</w:t>
      </w:r>
    </w:p>
    <w:p w14:paraId="4834E7FD" w14:textId="77777777" w:rsidR="00C87BDF" w:rsidRDefault="00C87BDF" w:rsidP="00C87BDF">
      <w:pPr>
        <w:pStyle w:val="af5"/>
        <w:numPr>
          <w:ilvl w:val="0"/>
          <w:numId w:val="12"/>
        </w:numPr>
        <w:spacing w:before="120"/>
        <w:ind w:left="690" w:hanging="240"/>
        <w:rPr>
          <w:rFonts w:ascii="宋体" w:eastAsia="宋体" w:hAnsi="Times New Roman"/>
          <w:color w:val="000000"/>
        </w:rPr>
      </w:pPr>
      <w:r w:rsidRPr="00C87BDF">
        <w:rPr>
          <w:rFonts w:ascii="宋体" w:eastAsia="宋体" w:hAnsi="Times New Roman" w:hint="eastAsia"/>
          <w:color w:val="000000"/>
        </w:rPr>
        <w:t>代表某信托公司处理在北京仲裁委审理巨额借款仲裁案件，获得胜诉裁决</w:t>
      </w:r>
    </w:p>
    <w:p w14:paraId="7247B5B9" w14:textId="77777777" w:rsidR="00C87BDF" w:rsidRDefault="00C87BDF" w:rsidP="00C87BDF">
      <w:pPr>
        <w:pStyle w:val="af5"/>
        <w:numPr>
          <w:ilvl w:val="0"/>
          <w:numId w:val="13"/>
        </w:numPr>
        <w:spacing w:before="120"/>
        <w:ind w:left="690" w:hanging="240"/>
        <w:rPr>
          <w:rFonts w:ascii="宋体" w:eastAsia="宋体" w:hAnsi="Times New Roman"/>
          <w:color w:val="000000"/>
        </w:rPr>
      </w:pPr>
      <w:r w:rsidRPr="00C87BDF">
        <w:rPr>
          <w:rFonts w:ascii="宋体" w:eastAsia="宋体" w:hAnsi="Times New Roman" w:hint="eastAsia"/>
          <w:color w:val="000000"/>
        </w:rPr>
        <w:t>代表某金融资产管理公司在上海法院申请取得金额巨大的实现担保物权裁定</w:t>
      </w:r>
    </w:p>
    <w:p w14:paraId="66FDD265" w14:textId="77777777" w:rsidR="00C87BDF" w:rsidRDefault="00C87BDF" w:rsidP="00C87BDF">
      <w:pPr>
        <w:pStyle w:val="af5"/>
        <w:numPr>
          <w:ilvl w:val="0"/>
          <w:numId w:val="14"/>
        </w:numPr>
        <w:spacing w:before="120"/>
        <w:ind w:left="690" w:hanging="240"/>
        <w:rPr>
          <w:rFonts w:ascii="宋体" w:eastAsia="宋体" w:hAnsi="Times New Roman"/>
          <w:color w:val="000000"/>
        </w:rPr>
      </w:pPr>
      <w:r w:rsidRPr="00C87BDF">
        <w:rPr>
          <w:rFonts w:ascii="宋体" w:eastAsia="宋体" w:hAnsi="Times New Roman" w:hint="eastAsia"/>
          <w:color w:val="000000"/>
        </w:rPr>
        <w:t>代表多家大型证券公司在各地法院处理股份质押回购交易诉讼</w:t>
      </w:r>
      <w:r w:rsidRPr="00C87BDF">
        <w:rPr>
          <w:rFonts w:ascii="宋体" w:eastAsia="宋体" w:hAnsi="Times New Roman"/>
          <w:color w:val="000000"/>
        </w:rPr>
        <w:t>/强制执行公证和执行</w:t>
      </w:r>
    </w:p>
    <w:p w14:paraId="077832E4" w14:textId="77777777" w:rsidR="00C87BDF" w:rsidRDefault="00C87BDF" w:rsidP="00C87BDF">
      <w:pPr>
        <w:pStyle w:val="af5"/>
        <w:numPr>
          <w:ilvl w:val="0"/>
          <w:numId w:val="15"/>
        </w:numPr>
        <w:spacing w:before="120"/>
        <w:ind w:left="690" w:hanging="240"/>
        <w:rPr>
          <w:rFonts w:ascii="宋体" w:eastAsia="宋体" w:hAnsi="Times New Roman"/>
          <w:color w:val="000000"/>
        </w:rPr>
      </w:pPr>
      <w:r w:rsidRPr="00C87BDF">
        <w:rPr>
          <w:rFonts w:ascii="宋体" w:eastAsia="宋体" w:hAnsi="Times New Roman" w:hint="eastAsia"/>
          <w:color w:val="000000"/>
        </w:rPr>
        <w:t>代表某资管公司在上海国仲针对某证券公司提起资产管理合同争议，并获得全额胜诉裁决</w:t>
      </w:r>
    </w:p>
    <w:p w14:paraId="1FF968E2" w14:textId="77777777" w:rsidR="00C87BDF" w:rsidRDefault="00C87BDF" w:rsidP="00C87BDF">
      <w:pPr>
        <w:pStyle w:val="af5"/>
        <w:numPr>
          <w:ilvl w:val="0"/>
          <w:numId w:val="16"/>
        </w:numPr>
        <w:spacing w:before="120"/>
        <w:ind w:left="690" w:hanging="240"/>
        <w:rPr>
          <w:rFonts w:ascii="宋体" w:eastAsia="宋体" w:hAnsi="Times New Roman"/>
          <w:color w:val="000000"/>
        </w:rPr>
      </w:pPr>
      <w:r w:rsidRPr="00C87BDF">
        <w:rPr>
          <w:rFonts w:ascii="宋体" w:eastAsia="宋体" w:hAnsi="Times New Roman" w:hint="eastAsia"/>
          <w:color w:val="000000"/>
        </w:rPr>
        <w:t>代表一家私募投资人在上海法院针对某上市公司实际控制人提起投资回购诉讼，获得二审终审胜诉判决</w:t>
      </w:r>
    </w:p>
    <w:p w14:paraId="0DFC2620" w14:textId="77777777" w:rsidR="00C87BDF" w:rsidRDefault="00C87BDF" w:rsidP="00C87BDF">
      <w:pPr>
        <w:pStyle w:val="af5"/>
        <w:numPr>
          <w:ilvl w:val="0"/>
          <w:numId w:val="17"/>
        </w:numPr>
        <w:spacing w:before="120"/>
        <w:ind w:left="690" w:hanging="240"/>
        <w:rPr>
          <w:rFonts w:ascii="宋体" w:eastAsia="宋体" w:hAnsi="Times New Roman"/>
          <w:color w:val="000000"/>
        </w:rPr>
      </w:pPr>
      <w:r w:rsidRPr="00C87BDF">
        <w:rPr>
          <w:rFonts w:ascii="宋体" w:eastAsia="宋体" w:hAnsi="Times New Roman" w:hint="eastAsia"/>
          <w:color w:val="000000"/>
        </w:rPr>
        <w:t>为一国内个人客户在银行高管欺诈行为导致巨额损失案件中提供包括民事诉讼、行政投诉、复议等全程法律服务</w:t>
      </w:r>
    </w:p>
    <w:p w14:paraId="24313D17" w14:textId="77777777" w:rsidR="00C87BDF" w:rsidRDefault="00C87BDF" w:rsidP="00C87BDF">
      <w:pPr>
        <w:pStyle w:val="af5"/>
        <w:numPr>
          <w:ilvl w:val="0"/>
          <w:numId w:val="18"/>
        </w:numPr>
        <w:spacing w:before="120"/>
        <w:ind w:left="690" w:hanging="240"/>
        <w:rPr>
          <w:rFonts w:ascii="宋体" w:eastAsia="宋体" w:hAnsi="Times New Roman"/>
          <w:color w:val="000000"/>
        </w:rPr>
      </w:pPr>
      <w:r w:rsidRPr="00C87BDF">
        <w:rPr>
          <w:rFonts w:ascii="宋体" w:eastAsia="宋体" w:hAnsi="Times New Roman" w:hint="eastAsia"/>
          <w:color w:val="000000"/>
        </w:rPr>
        <w:t>正代表某证券公司在多地法院处理主板市场和新三板的证券虚假陈述侵权诉讼</w:t>
      </w:r>
    </w:p>
    <w:p w14:paraId="75842BA5" w14:textId="77777777" w:rsidR="00C87BDF" w:rsidRDefault="00C87BDF" w:rsidP="00C87BDF">
      <w:pPr>
        <w:pStyle w:val="af5"/>
        <w:numPr>
          <w:ilvl w:val="0"/>
          <w:numId w:val="19"/>
        </w:numPr>
        <w:spacing w:before="120"/>
        <w:ind w:left="690" w:hanging="240"/>
        <w:rPr>
          <w:rFonts w:ascii="宋体" w:eastAsia="宋体" w:hAnsi="Times New Roman"/>
          <w:color w:val="000000"/>
        </w:rPr>
      </w:pPr>
      <w:r w:rsidRPr="00C87BDF">
        <w:rPr>
          <w:rFonts w:ascii="宋体" w:eastAsia="宋体" w:hAnsi="Times New Roman" w:hint="eastAsia"/>
          <w:color w:val="000000"/>
        </w:rPr>
        <w:t>正代表一家国有大型银行旗下资管公司处理在深圳法院进行的一起境外债券违约诉讼</w:t>
      </w:r>
    </w:p>
    <w:p w14:paraId="59C75892" w14:textId="77777777" w:rsidR="00C87BDF" w:rsidRDefault="00C87BDF" w:rsidP="00C87BDF">
      <w:pPr>
        <w:pStyle w:val="af5"/>
        <w:numPr>
          <w:ilvl w:val="0"/>
          <w:numId w:val="20"/>
        </w:numPr>
        <w:spacing w:before="120"/>
        <w:ind w:left="690" w:hanging="240"/>
        <w:rPr>
          <w:rFonts w:ascii="宋体" w:eastAsia="宋体" w:hAnsi="Times New Roman"/>
          <w:color w:val="000000"/>
        </w:rPr>
      </w:pPr>
      <w:r w:rsidRPr="00C87BDF">
        <w:rPr>
          <w:rFonts w:ascii="宋体" w:eastAsia="宋体" w:hAnsi="Times New Roman" w:hint="eastAsia"/>
          <w:color w:val="000000"/>
        </w:rPr>
        <w:t>正代表某证券公司和信托公司处理一起在上海法院进行的</w:t>
      </w:r>
      <w:r w:rsidRPr="00C87BDF">
        <w:rPr>
          <w:rFonts w:ascii="宋体" w:eastAsia="宋体" w:hAnsi="Times New Roman"/>
          <w:color w:val="000000"/>
        </w:rPr>
        <w:t>ABS违约诉讼</w:t>
      </w:r>
    </w:p>
    <w:p w14:paraId="7AD3DF70" w14:textId="77777777" w:rsidR="00C87BDF" w:rsidRDefault="00C87BDF" w:rsidP="00C87BDF">
      <w:pPr>
        <w:pStyle w:val="af5"/>
        <w:numPr>
          <w:ilvl w:val="0"/>
          <w:numId w:val="21"/>
        </w:numPr>
        <w:spacing w:before="120"/>
        <w:ind w:left="690" w:hanging="240"/>
        <w:rPr>
          <w:rFonts w:ascii="宋体" w:eastAsia="宋体" w:hAnsi="Times New Roman"/>
          <w:color w:val="000000"/>
        </w:rPr>
      </w:pPr>
      <w:r w:rsidRPr="00C87BDF">
        <w:rPr>
          <w:rFonts w:ascii="宋体" w:eastAsia="宋体" w:hAnsi="Times New Roman" w:hint="eastAsia"/>
          <w:color w:val="000000"/>
        </w:rPr>
        <w:t>正代表某私募基金在北京法院针对暴风集团提起金额巨大的违约损害赔偿诉讼</w:t>
      </w:r>
    </w:p>
    <w:p w14:paraId="4324C688" w14:textId="77777777" w:rsidR="00C87BDF" w:rsidRDefault="00C87BDF" w:rsidP="00C87BDF">
      <w:pPr>
        <w:pStyle w:val="af5"/>
        <w:spacing w:before="120"/>
        <w:rPr>
          <w:rFonts w:ascii="宋体" w:eastAsia="宋体" w:hAnsi="Times New Roman"/>
          <w:color w:val="000000"/>
        </w:rPr>
      </w:pPr>
      <w:r w:rsidRPr="00C87BDF">
        <w:rPr>
          <w:rFonts w:ascii="宋体" w:eastAsia="宋体" w:hAnsi="Times New Roman" w:hint="eastAsia"/>
          <w:color w:val="000000"/>
        </w:rPr>
        <w:t>其他典型案例</w:t>
      </w:r>
    </w:p>
    <w:p w14:paraId="28CA81A7" w14:textId="77777777" w:rsidR="00C87BDF" w:rsidRDefault="00C87BDF" w:rsidP="00C87BDF">
      <w:pPr>
        <w:pStyle w:val="af5"/>
        <w:numPr>
          <w:ilvl w:val="0"/>
          <w:numId w:val="22"/>
        </w:numPr>
        <w:spacing w:before="120"/>
        <w:ind w:left="690" w:hanging="240"/>
        <w:rPr>
          <w:rFonts w:ascii="宋体" w:eastAsia="宋体" w:hAnsi="Times New Roman"/>
          <w:color w:val="000000"/>
        </w:rPr>
      </w:pPr>
      <w:r w:rsidRPr="00C87BDF">
        <w:rPr>
          <w:rFonts w:ascii="宋体" w:eastAsia="宋体" w:hAnsi="Times New Roman" w:hint="eastAsia"/>
          <w:color w:val="000000"/>
        </w:rPr>
        <w:t>代表一</w:t>
      </w:r>
      <w:r w:rsidRPr="00C87BDF">
        <w:rPr>
          <w:rFonts w:ascii="宋体" w:eastAsia="宋体" w:hAnsi="Times New Roman"/>
          <w:color w:val="000000"/>
        </w:rPr>
        <w:t>A股上市公司处理星级酒店租赁合同仲裁并申请取得浙江法院的行为保全禁令，并获得胜诉裁决及全额清偿</w:t>
      </w:r>
    </w:p>
    <w:p w14:paraId="06DAD636" w14:textId="77777777" w:rsidR="00C87BDF" w:rsidRDefault="00C87BDF" w:rsidP="00C87BDF">
      <w:pPr>
        <w:pStyle w:val="af5"/>
        <w:numPr>
          <w:ilvl w:val="0"/>
          <w:numId w:val="23"/>
        </w:numPr>
        <w:spacing w:before="120"/>
        <w:ind w:left="690" w:hanging="240"/>
        <w:rPr>
          <w:rFonts w:ascii="宋体" w:eastAsia="宋体" w:hAnsi="Times New Roman"/>
          <w:color w:val="000000"/>
        </w:rPr>
      </w:pPr>
      <w:r w:rsidRPr="00C87BDF">
        <w:rPr>
          <w:rFonts w:ascii="宋体" w:eastAsia="宋体" w:hAnsi="Times New Roman" w:hint="eastAsia"/>
          <w:color w:val="000000"/>
        </w:rPr>
        <w:t>代表国内某大型互联网企业处理与国内媒体之间的商誉侵权案件，取得上海法院首例非知识产权案件中的行为禁令，并最终获得胜诉判决</w:t>
      </w:r>
    </w:p>
    <w:p w14:paraId="22D6F618" w14:textId="77777777" w:rsidR="00C87BDF" w:rsidRDefault="00C87BDF" w:rsidP="00C87BDF">
      <w:pPr>
        <w:pStyle w:val="af5"/>
        <w:numPr>
          <w:ilvl w:val="0"/>
          <w:numId w:val="24"/>
        </w:numPr>
        <w:spacing w:before="120"/>
        <w:ind w:left="690" w:hanging="240"/>
        <w:rPr>
          <w:rFonts w:ascii="宋体" w:eastAsia="宋体" w:hAnsi="Times New Roman"/>
          <w:color w:val="000000"/>
        </w:rPr>
      </w:pPr>
      <w:r w:rsidRPr="00C87BDF">
        <w:rPr>
          <w:rFonts w:ascii="宋体" w:eastAsia="宋体" w:hAnsi="Times New Roman" w:hint="eastAsia"/>
          <w:color w:val="000000"/>
        </w:rPr>
        <w:t>代表某国际大型超市公司在国内各地法院处理多位管理层渎职引发的劳动争议案件</w:t>
      </w:r>
    </w:p>
    <w:p w14:paraId="4E6FDAF8" w14:textId="77777777" w:rsidR="00C87BDF" w:rsidRDefault="00C87BDF" w:rsidP="00C87BDF">
      <w:pPr>
        <w:pStyle w:val="af5"/>
        <w:numPr>
          <w:ilvl w:val="0"/>
          <w:numId w:val="25"/>
        </w:numPr>
        <w:spacing w:before="120"/>
        <w:ind w:left="690" w:hanging="240"/>
        <w:rPr>
          <w:rFonts w:ascii="宋体" w:eastAsia="宋体" w:hAnsi="Times New Roman"/>
          <w:color w:val="000000"/>
        </w:rPr>
      </w:pPr>
      <w:r w:rsidRPr="00C87BDF">
        <w:rPr>
          <w:rFonts w:ascii="宋体" w:eastAsia="宋体" w:hAnsi="Times New Roman" w:hint="eastAsia"/>
          <w:color w:val="000000"/>
        </w:rPr>
        <w:t>代表债权人在各地法院参与债务人企业的大型破产重整程序</w:t>
      </w:r>
    </w:p>
    <w:p w14:paraId="20B699B6" w14:textId="77777777" w:rsidR="00C87BDF" w:rsidRDefault="00C87BDF" w:rsidP="00C87BDF">
      <w:pPr>
        <w:pStyle w:val="af5"/>
        <w:spacing w:after="0" w:line="480" w:lineRule="auto"/>
        <w:rPr>
          <w:rFonts w:ascii="宋体" w:eastAsia="宋体" w:hAnsi="宋体"/>
          <w:b/>
          <w:sz w:val="24"/>
        </w:rPr>
      </w:pPr>
      <w:r w:rsidRPr="00C87BDF">
        <w:rPr>
          <w:rFonts w:ascii="宋体" w:eastAsia="宋体" w:hAnsi="宋体" w:hint="eastAsia"/>
          <w:b/>
          <w:sz w:val="24"/>
        </w:rPr>
        <w:t>教育背景</w:t>
      </w:r>
    </w:p>
    <w:p w14:paraId="01147A72" w14:textId="77777777" w:rsidR="00C87BDF" w:rsidRDefault="00C87BDF" w:rsidP="00C87BDF">
      <w:pPr>
        <w:pStyle w:val="af5"/>
        <w:numPr>
          <w:ilvl w:val="0"/>
          <w:numId w:val="26"/>
        </w:numPr>
        <w:spacing w:before="120"/>
        <w:ind w:left="690" w:hanging="240"/>
        <w:rPr>
          <w:rFonts w:ascii="宋体" w:eastAsia="宋体" w:hAnsi="Times New Roman"/>
          <w:color w:val="000000"/>
        </w:rPr>
      </w:pPr>
      <w:r w:rsidRPr="00C87BDF">
        <w:rPr>
          <w:rFonts w:ascii="宋体" w:eastAsia="宋体" w:hAnsi="Times New Roman" w:hint="eastAsia"/>
          <w:color w:val="000000"/>
        </w:rPr>
        <w:t>复旦大学，法学学士</w:t>
      </w:r>
    </w:p>
    <w:p w14:paraId="6AFEE1DA" w14:textId="77777777" w:rsidR="00C87BDF" w:rsidRDefault="00C87BDF" w:rsidP="00C87BDF">
      <w:pPr>
        <w:pStyle w:val="af5"/>
        <w:spacing w:after="0" w:line="480" w:lineRule="auto"/>
        <w:rPr>
          <w:rFonts w:ascii="宋体" w:eastAsia="宋体" w:hAnsi="宋体"/>
          <w:b/>
          <w:sz w:val="24"/>
        </w:rPr>
      </w:pPr>
      <w:r w:rsidRPr="00C87BDF">
        <w:rPr>
          <w:rFonts w:ascii="宋体" w:eastAsia="宋体" w:hAnsi="宋体" w:hint="eastAsia"/>
          <w:b/>
          <w:sz w:val="24"/>
        </w:rPr>
        <w:t>执业资格</w:t>
      </w:r>
    </w:p>
    <w:p w14:paraId="154CDD66" w14:textId="77777777" w:rsidR="00C87BDF" w:rsidRDefault="00C87BDF" w:rsidP="00C87BDF">
      <w:pPr>
        <w:pStyle w:val="af5"/>
        <w:numPr>
          <w:ilvl w:val="0"/>
          <w:numId w:val="27"/>
        </w:numPr>
        <w:spacing w:before="120"/>
        <w:ind w:left="690" w:hanging="240"/>
        <w:rPr>
          <w:rFonts w:ascii="宋体" w:eastAsia="宋体" w:hAnsi="Times New Roman"/>
          <w:color w:val="000000"/>
        </w:rPr>
      </w:pPr>
      <w:r w:rsidRPr="00C87BDF">
        <w:rPr>
          <w:rFonts w:ascii="宋体" w:eastAsia="宋体" w:hAnsi="Times New Roman" w:hint="eastAsia"/>
          <w:color w:val="000000"/>
        </w:rPr>
        <w:t>中华人民共和国执业律师</w:t>
      </w:r>
    </w:p>
    <w:p w14:paraId="744F0FE2" w14:textId="77777777" w:rsidR="00C87BDF" w:rsidRDefault="00C87BDF" w:rsidP="00C87BDF">
      <w:pPr>
        <w:pStyle w:val="af5"/>
        <w:numPr>
          <w:ilvl w:val="0"/>
          <w:numId w:val="28"/>
        </w:numPr>
        <w:spacing w:before="120"/>
        <w:ind w:left="690" w:hanging="240"/>
        <w:rPr>
          <w:rFonts w:ascii="宋体" w:eastAsia="宋体" w:hAnsi="Times New Roman"/>
          <w:color w:val="000000"/>
        </w:rPr>
      </w:pPr>
      <w:r w:rsidRPr="00C87BDF">
        <w:rPr>
          <w:rFonts w:ascii="宋体" w:eastAsia="宋体" w:hAnsi="Times New Roman" w:hint="eastAsia"/>
          <w:color w:val="000000"/>
        </w:rPr>
        <w:t>上海仲裁委仲裁员</w:t>
      </w:r>
    </w:p>
    <w:p w14:paraId="5F37361B" w14:textId="77777777" w:rsidR="00C87BDF" w:rsidRDefault="00C87BDF" w:rsidP="00C87BDF">
      <w:pPr>
        <w:pStyle w:val="af5"/>
        <w:spacing w:after="0" w:line="480" w:lineRule="auto"/>
        <w:rPr>
          <w:rFonts w:ascii="宋体" w:eastAsia="宋体" w:hAnsi="宋体"/>
          <w:b/>
          <w:sz w:val="24"/>
        </w:rPr>
      </w:pPr>
      <w:r w:rsidRPr="00C87BDF">
        <w:rPr>
          <w:rFonts w:ascii="宋体" w:eastAsia="宋体" w:hAnsi="宋体" w:hint="eastAsia"/>
          <w:b/>
          <w:sz w:val="24"/>
        </w:rPr>
        <w:t>其他信息</w:t>
      </w:r>
    </w:p>
    <w:p w14:paraId="539EFCD0" w14:textId="77777777" w:rsidR="00C87BDF" w:rsidRDefault="00C87BDF" w:rsidP="00C87BDF">
      <w:pPr>
        <w:pStyle w:val="af5"/>
        <w:spacing w:after="0" w:line="480" w:lineRule="auto"/>
        <w:rPr>
          <w:rFonts w:ascii="宋体" w:eastAsia="宋体" w:hAnsi="宋体"/>
          <w:b/>
          <w:sz w:val="24"/>
        </w:rPr>
      </w:pPr>
      <w:r w:rsidRPr="00C87BDF">
        <w:rPr>
          <w:rFonts w:ascii="宋体" w:eastAsia="宋体" w:hAnsi="宋体" w:hint="eastAsia"/>
          <w:b/>
          <w:sz w:val="24"/>
        </w:rPr>
        <w:t>出版物</w:t>
      </w:r>
    </w:p>
    <w:p w14:paraId="3EA7433D" w14:textId="77777777" w:rsidR="00C87BDF" w:rsidRDefault="00C87BDF" w:rsidP="00C87BDF">
      <w:pPr>
        <w:pStyle w:val="af5"/>
        <w:numPr>
          <w:ilvl w:val="0"/>
          <w:numId w:val="29"/>
        </w:numPr>
        <w:spacing w:before="120"/>
        <w:ind w:left="690" w:hanging="240"/>
        <w:rPr>
          <w:rFonts w:ascii="宋体" w:eastAsia="宋体" w:hAnsi="Times New Roman"/>
          <w:color w:val="000000"/>
        </w:rPr>
      </w:pPr>
      <w:r w:rsidRPr="00C87BDF">
        <w:rPr>
          <w:rFonts w:ascii="宋体" w:eastAsia="宋体" w:hAnsi="Times New Roman"/>
          <w:color w:val="000000"/>
        </w:rPr>
        <w:t xml:space="preserve">承担最高院审判疑难丛书《股权转让纠纷》相应章节的撰写任务 </w:t>
      </w:r>
    </w:p>
    <w:p w14:paraId="36D8C17A" w14:textId="77777777" w:rsidR="00C87BDF" w:rsidRDefault="00C87BDF" w:rsidP="00C87BDF">
      <w:pPr>
        <w:pStyle w:val="af5"/>
        <w:numPr>
          <w:ilvl w:val="0"/>
          <w:numId w:val="30"/>
        </w:numPr>
        <w:spacing w:before="120"/>
        <w:ind w:left="690" w:hanging="240"/>
        <w:rPr>
          <w:rFonts w:ascii="宋体" w:eastAsia="宋体" w:hAnsi="Times New Roman"/>
          <w:color w:val="000000"/>
        </w:rPr>
      </w:pPr>
      <w:r w:rsidRPr="00C87BDF">
        <w:rPr>
          <w:rFonts w:ascii="宋体" w:eastAsia="宋体" w:hAnsi="Times New Roman"/>
          <w:color w:val="000000"/>
        </w:rPr>
        <w:t xml:space="preserve">参与最高院重大课题《关联企业合并破产问题研究》调研，并执笔课题报告相关章节 </w:t>
      </w:r>
    </w:p>
    <w:p w14:paraId="02C72C9F" w14:textId="77777777" w:rsidR="00C87BDF" w:rsidRDefault="00C87BDF" w:rsidP="00C87BDF">
      <w:pPr>
        <w:pStyle w:val="af5"/>
        <w:numPr>
          <w:ilvl w:val="0"/>
          <w:numId w:val="31"/>
        </w:numPr>
        <w:spacing w:before="120"/>
        <w:ind w:left="690" w:hanging="240"/>
        <w:rPr>
          <w:rFonts w:ascii="宋体" w:eastAsia="宋体" w:hAnsi="Times New Roman"/>
          <w:color w:val="000000"/>
        </w:rPr>
      </w:pPr>
      <w:r w:rsidRPr="00C87BDF">
        <w:rPr>
          <w:rFonts w:ascii="宋体" w:eastAsia="宋体" w:hAnsi="Times New Roman"/>
          <w:color w:val="000000"/>
        </w:rPr>
        <w:t xml:space="preserve">在国内法学及金融刊物上公开发表论文三十余篇，包括： </w:t>
      </w:r>
    </w:p>
    <w:p w14:paraId="60C8D603" w14:textId="77777777" w:rsidR="00C87BDF" w:rsidRDefault="00C87BDF" w:rsidP="00C87BDF">
      <w:pPr>
        <w:pStyle w:val="af5"/>
        <w:numPr>
          <w:ilvl w:val="0"/>
          <w:numId w:val="32"/>
        </w:numPr>
        <w:spacing w:before="120"/>
        <w:ind w:left="690" w:hanging="240"/>
        <w:rPr>
          <w:rFonts w:ascii="宋体" w:eastAsia="宋体" w:hAnsi="Times New Roman"/>
          <w:color w:val="000000"/>
        </w:rPr>
      </w:pPr>
      <w:r w:rsidRPr="00C87BDF">
        <w:rPr>
          <w:rFonts w:ascii="宋体" w:eastAsia="宋体" w:hAnsi="Times New Roman"/>
          <w:color w:val="000000"/>
        </w:rPr>
        <w:t xml:space="preserve">程序法律研究   《民事诉讼缺席审判制度应用问题研究》 </w:t>
      </w:r>
    </w:p>
    <w:p w14:paraId="3C96A8AC" w14:textId="77777777" w:rsidR="00C87BDF" w:rsidRDefault="00C87BDF" w:rsidP="00C87BDF">
      <w:pPr>
        <w:pStyle w:val="af5"/>
        <w:numPr>
          <w:ilvl w:val="0"/>
          <w:numId w:val="33"/>
        </w:numPr>
        <w:spacing w:before="120"/>
        <w:ind w:left="690" w:hanging="240"/>
        <w:rPr>
          <w:rFonts w:ascii="宋体" w:eastAsia="宋体" w:hAnsi="Times New Roman"/>
          <w:color w:val="000000"/>
        </w:rPr>
      </w:pPr>
      <w:r w:rsidRPr="00C87BDF">
        <w:rPr>
          <w:rFonts w:ascii="宋体" w:eastAsia="宋体" w:hAnsi="Times New Roman"/>
          <w:color w:val="000000"/>
        </w:rPr>
        <w:t xml:space="preserve">《约定诉讼或仲裁可选的仲裁条款效力探讨》 </w:t>
      </w:r>
    </w:p>
    <w:p w14:paraId="2760F7EF" w14:textId="77777777" w:rsidR="00C87BDF" w:rsidRDefault="00C87BDF" w:rsidP="00C87BDF">
      <w:pPr>
        <w:pStyle w:val="af5"/>
        <w:numPr>
          <w:ilvl w:val="0"/>
          <w:numId w:val="34"/>
        </w:numPr>
        <w:spacing w:before="120"/>
        <w:ind w:left="690" w:hanging="240"/>
        <w:rPr>
          <w:rFonts w:ascii="宋体" w:eastAsia="宋体" w:hAnsi="Times New Roman"/>
          <w:color w:val="000000"/>
        </w:rPr>
      </w:pPr>
      <w:r w:rsidRPr="00C87BDF">
        <w:rPr>
          <w:rFonts w:ascii="宋体" w:eastAsia="宋体" w:hAnsi="Times New Roman"/>
          <w:color w:val="000000"/>
        </w:rPr>
        <w:t xml:space="preserve">《从新破产法谈破产债权审查确认程序的完善》 </w:t>
      </w:r>
    </w:p>
    <w:p w14:paraId="73B2E20B" w14:textId="77777777" w:rsidR="00C87BDF" w:rsidRDefault="00C87BDF" w:rsidP="00C87BDF">
      <w:pPr>
        <w:pStyle w:val="af5"/>
        <w:numPr>
          <w:ilvl w:val="0"/>
          <w:numId w:val="35"/>
        </w:numPr>
        <w:spacing w:before="120"/>
        <w:ind w:left="690" w:hanging="240"/>
        <w:rPr>
          <w:rFonts w:ascii="宋体" w:eastAsia="宋体" w:hAnsi="Times New Roman"/>
          <w:color w:val="000000"/>
        </w:rPr>
      </w:pPr>
      <w:r w:rsidRPr="00C87BDF">
        <w:rPr>
          <w:rFonts w:ascii="宋体" w:eastAsia="宋体" w:hAnsi="Times New Roman"/>
          <w:color w:val="000000"/>
        </w:rPr>
        <w:t xml:space="preserve">《与破产企业有关的实体争议管辖问题初论》 </w:t>
      </w:r>
    </w:p>
    <w:p w14:paraId="5B36B81E" w14:textId="77777777" w:rsidR="00C87BDF" w:rsidRDefault="00C87BDF" w:rsidP="00C87BDF">
      <w:pPr>
        <w:pStyle w:val="af5"/>
        <w:numPr>
          <w:ilvl w:val="0"/>
          <w:numId w:val="36"/>
        </w:numPr>
        <w:spacing w:before="120"/>
        <w:ind w:left="690" w:hanging="240"/>
        <w:rPr>
          <w:rFonts w:ascii="宋体" w:eastAsia="宋体" w:hAnsi="Times New Roman"/>
          <w:color w:val="000000"/>
        </w:rPr>
      </w:pPr>
      <w:r w:rsidRPr="00C87BDF">
        <w:rPr>
          <w:rFonts w:ascii="宋体" w:eastAsia="宋体" w:hAnsi="Times New Roman"/>
          <w:color w:val="000000"/>
        </w:rPr>
        <w:t xml:space="preserve">实体法律研究   《试论司法程序对名誉权侵权构成的影响》 </w:t>
      </w:r>
    </w:p>
    <w:p w14:paraId="1A19B4E0" w14:textId="77777777" w:rsidR="00C87BDF" w:rsidRDefault="00C87BDF" w:rsidP="00C87BDF">
      <w:pPr>
        <w:pStyle w:val="af5"/>
        <w:numPr>
          <w:ilvl w:val="0"/>
          <w:numId w:val="37"/>
        </w:numPr>
        <w:spacing w:before="120"/>
        <w:ind w:left="690" w:hanging="240"/>
        <w:rPr>
          <w:rFonts w:ascii="宋体" w:eastAsia="宋体" w:hAnsi="Times New Roman"/>
          <w:color w:val="000000"/>
        </w:rPr>
      </w:pPr>
      <w:r w:rsidRPr="00C87BDF">
        <w:rPr>
          <w:rFonts w:ascii="宋体" w:eastAsia="宋体" w:hAnsi="Times New Roman"/>
          <w:color w:val="000000"/>
        </w:rPr>
        <w:t xml:space="preserve">《第三人实施侵权行为时经营者的安全保障义务-从合同法到侵权法》 </w:t>
      </w:r>
    </w:p>
    <w:p w14:paraId="06E625E9" w14:textId="77777777" w:rsidR="00C87BDF" w:rsidRDefault="00C87BDF" w:rsidP="00C87BDF">
      <w:pPr>
        <w:pStyle w:val="af5"/>
        <w:numPr>
          <w:ilvl w:val="0"/>
          <w:numId w:val="38"/>
        </w:numPr>
        <w:spacing w:before="120"/>
        <w:ind w:left="690" w:hanging="240"/>
        <w:rPr>
          <w:rFonts w:ascii="宋体" w:eastAsia="宋体" w:hAnsi="Times New Roman"/>
          <w:color w:val="000000"/>
        </w:rPr>
      </w:pPr>
      <w:r w:rsidRPr="00C87BDF">
        <w:rPr>
          <w:rFonts w:ascii="宋体" w:eastAsia="宋体" w:hAnsi="Times New Roman"/>
          <w:color w:val="000000"/>
        </w:rPr>
        <w:t xml:space="preserve">《涉外民商事合同关系中的法律选择协议》 </w:t>
      </w:r>
    </w:p>
    <w:p w14:paraId="712CD864" w14:textId="77777777" w:rsidR="00C87BDF" w:rsidRDefault="00C87BDF" w:rsidP="00C87BDF">
      <w:pPr>
        <w:pStyle w:val="af5"/>
        <w:numPr>
          <w:ilvl w:val="0"/>
          <w:numId w:val="39"/>
        </w:numPr>
        <w:spacing w:before="120"/>
        <w:ind w:left="690" w:hanging="240"/>
        <w:rPr>
          <w:rFonts w:ascii="宋体" w:eastAsia="宋体" w:hAnsi="Times New Roman"/>
          <w:color w:val="000000"/>
        </w:rPr>
      </w:pPr>
      <w:r w:rsidRPr="00C87BDF">
        <w:rPr>
          <w:rFonts w:ascii="宋体" w:eastAsia="宋体" w:hAnsi="Times New Roman"/>
          <w:color w:val="000000"/>
        </w:rPr>
        <w:t xml:space="preserve">《我国利率市场化改革及对审判实践的影响》 </w:t>
      </w:r>
    </w:p>
    <w:p w14:paraId="7AAC5BA1" w14:textId="77777777" w:rsidR="00C87BDF" w:rsidRDefault="00C87BDF" w:rsidP="00C87BDF">
      <w:pPr>
        <w:pStyle w:val="af5"/>
        <w:numPr>
          <w:ilvl w:val="0"/>
          <w:numId w:val="40"/>
        </w:numPr>
        <w:spacing w:before="120"/>
        <w:ind w:left="690" w:hanging="240"/>
        <w:rPr>
          <w:rFonts w:ascii="宋体" w:eastAsia="宋体" w:hAnsi="Times New Roman"/>
          <w:color w:val="000000"/>
        </w:rPr>
      </w:pPr>
      <w:r w:rsidRPr="00C87BDF">
        <w:rPr>
          <w:rFonts w:ascii="宋体" w:eastAsia="宋体" w:hAnsi="Times New Roman"/>
          <w:color w:val="000000"/>
        </w:rPr>
        <w:t xml:space="preserve">《银行提前收回贷款问题研究》 </w:t>
      </w:r>
    </w:p>
    <w:p w14:paraId="2FEBEF1E" w14:textId="77777777" w:rsidR="00C87BDF" w:rsidRDefault="00C87BDF" w:rsidP="00C87BDF">
      <w:pPr>
        <w:pStyle w:val="af5"/>
        <w:numPr>
          <w:ilvl w:val="0"/>
          <w:numId w:val="41"/>
        </w:numPr>
        <w:spacing w:before="120"/>
        <w:ind w:left="690" w:hanging="240"/>
        <w:rPr>
          <w:rFonts w:ascii="宋体" w:eastAsia="宋体" w:hAnsi="Times New Roman"/>
          <w:color w:val="000000"/>
        </w:rPr>
      </w:pPr>
      <w:r w:rsidRPr="00C87BDF">
        <w:rPr>
          <w:rFonts w:ascii="宋体" w:eastAsia="宋体" w:hAnsi="Times New Roman"/>
          <w:color w:val="000000"/>
        </w:rPr>
        <w:t xml:space="preserve">《试论银行业务实践中的授信额度合同》 </w:t>
      </w:r>
    </w:p>
    <w:p w14:paraId="77EA229A" w14:textId="77777777" w:rsidR="00C87BDF" w:rsidRDefault="00C87BDF" w:rsidP="00C87BDF">
      <w:pPr>
        <w:pStyle w:val="af5"/>
        <w:numPr>
          <w:ilvl w:val="0"/>
          <w:numId w:val="42"/>
        </w:numPr>
        <w:spacing w:before="120"/>
        <w:ind w:left="690" w:hanging="240"/>
        <w:rPr>
          <w:rFonts w:ascii="宋体" w:eastAsia="宋体" w:hAnsi="Times New Roman"/>
          <w:color w:val="000000"/>
        </w:rPr>
      </w:pPr>
      <w:r w:rsidRPr="00C87BDF">
        <w:rPr>
          <w:rFonts w:ascii="宋体" w:eastAsia="宋体" w:hAnsi="Times New Roman"/>
          <w:color w:val="000000"/>
        </w:rPr>
        <w:t xml:space="preserve">《金融危机背景下银行不良债权转让的金融法思考》 </w:t>
      </w:r>
    </w:p>
    <w:p w14:paraId="252E61E3" w14:textId="77777777" w:rsidR="00C87BDF" w:rsidRDefault="00C87BDF" w:rsidP="00C87BDF">
      <w:pPr>
        <w:pStyle w:val="af5"/>
        <w:numPr>
          <w:ilvl w:val="0"/>
          <w:numId w:val="43"/>
        </w:numPr>
        <w:spacing w:before="120"/>
        <w:ind w:left="690" w:hanging="240"/>
        <w:rPr>
          <w:rFonts w:ascii="宋体" w:eastAsia="宋体" w:hAnsi="Times New Roman"/>
          <w:color w:val="000000"/>
        </w:rPr>
      </w:pPr>
      <w:r w:rsidRPr="00C87BDF">
        <w:rPr>
          <w:rFonts w:ascii="宋体" w:eastAsia="宋体" w:hAnsi="Times New Roman"/>
          <w:color w:val="000000"/>
        </w:rPr>
        <w:t xml:space="preserve">《银行信贷业务中的利息法律实务问题研究》 </w:t>
      </w:r>
    </w:p>
    <w:p w14:paraId="03AE072F" w14:textId="77777777" w:rsidR="00C87BDF" w:rsidRDefault="00C87BDF" w:rsidP="00C87BDF">
      <w:pPr>
        <w:pStyle w:val="af5"/>
        <w:numPr>
          <w:ilvl w:val="0"/>
          <w:numId w:val="44"/>
        </w:numPr>
        <w:spacing w:before="120"/>
        <w:ind w:left="690" w:hanging="240"/>
        <w:rPr>
          <w:rFonts w:ascii="宋体" w:eastAsia="宋体" w:hAnsi="Times New Roman"/>
          <w:color w:val="000000"/>
        </w:rPr>
      </w:pPr>
      <w:r w:rsidRPr="00C87BDF">
        <w:rPr>
          <w:rFonts w:ascii="宋体" w:eastAsia="宋体" w:hAnsi="Times New Roman"/>
          <w:color w:val="000000"/>
        </w:rPr>
        <w:t xml:space="preserve">《涉港融资租赁合同法律关系的认定与处理》 </w:t>
      </w:r>
    </w:p>
    <w:p w14:paraId="2577F4B9" w14:textId="77777777" w:rsidR="00C87BDF" w:rsidRDefault="00C87BDF" w:rsidP="00C87BDF">
      <w:pPr>
        <w:pStyle w:val="af5"/>
        <w:numPr>
          <w:ilvl w:val="0"/>
          <w:numId w:val="45"/>
        </w:numPr>
        <w:spacing w:before="120"/>
        <w:ind w:left="690" w:hanging="240"/>
        <w:rPr>
          <w:rFonts w:ascii="宋体" w:eastAsia="宋体" w:hAnsi="Times New Roman"/>
          <w:color w:val="000000"/>
        </w:rPr>
      </w:pPr>
      <w:r w:rsidRPr="00C87BDF">
        <w:rPr>
          <w:rFonts w:ascii="宋体" w:eastAsia="宋体" w:hAnsi="Times New Roman"/>
          <w:color w:val="000000"/>
        </w:rPr>
        <w:t xml:space="preserve">《股权转让未经登记时股权受让人的权利救济》 </w:t>
      </w:r>
    </w:p>
    <w:p w14:paraId="70C8393B" w14:textId="77777777" w:rsidR="00C87BDF" w:rsidRDefault="00C87BDF" w:rsidP="00C87BDF">
      <w:pPr>
        <w:pStyle w:val="af5"/>
        <w:numPr>
          <w:ilvl w:val="0"/>
          <w:numId w:val="46"/>
        </w:numPr>
        <w:spacing w:before="120"/>
        <w:ind w:left="690" w:hanging="240"/>
        <w:rPr>
          <w:rFonts w:ascii="宋体" w:eastAsia="宋体" w:hAnsi="Times New Roman"/>
          <w:color w:val="000000"/>
        </w:rPr>
      </w:pPr>
      <w:r w:rsidRPr="00C87BDF">
        <w:rPr>
          <w:rFonts w:ascii="宋体" w:eastAsia="宋体" w:hAnsi="Times New Roman"/>
          <w:color w:val="000000"/>
        </w:rPr>
        <w:t xml:space="preserve">《公司解散清算向破产清算转换中的法律问题》 </w:t>
      </w:r>
    </w:p>
    <w:p w14:paraId="0780A1EE" w14:textId="77777777" w:rsidR="00C87BDF" w:rsidRDefault="00C87BDF" w:rsidP="00C87BDF">
      <w:pPr>
        <w:pStyle w:val="af5"/>
        <w:numPr>
          <w:ilvl w:val="0"/>
          <w:numId w:val="47"/>
        </w:numPr>
        <w:spacing w:before="120"/>
        <w:ind w:left="690" w:hanging="240"/>
        <w:rPr>
          <w:rFonts w:ascii="宋体" w:eastAsia="宋体" w:hAnsi="Times New Roman"/>
          <w:color w:val="000000"/>
        </w:rPr>
      </w:pPr>
      <w:r w:rsidRPr="00C87BDF">
        <w:rPr>
          <w:rFonts w:ascii="宋体" w:eastAsia="宋体" w:hAnsi="Times New Roman"/>
          <w:color w:val="000000"/>
        </w:rPr>
        <w:t xml:space="preserve">《劳动者对用人单位提前解散决议的异议权利》 </w:t>
      </w:r>
    </w:p>
    <w:p w14:paraId="4F0A196B" w14:textId="2620BBB2" w:rsidR="00A46A04" w:rsidRPr="00C87BDF" w:rsidRDefault="00C87BDF" w:rsidP="00C87BDF">
      <w:pPr>
        <w:pStyle w:val="af5"/>
        <w:numPr>
          <w:ilvl w:val="0"/>
          <w:numId w:val="48"/>
        </w:numPr>
        <w:spacing w:before="120"/>
        <w:ind w:left="690" w:hanging="240"/>
        <w:rPr>
          <w:rFonts w:ascii="宋体" w:eastAsia="宋体" w:hAnsi="Times New Roman"/>
          <w:color w:val="000000"/>
        </w:rPr>
      </w:pPr>
      <w:r w:rsidRPr="00C87BDF">
        <w:rPr>
          <w:rFonts w:ascii="宋体" w:eastAsia="宋体" w:hAnsi="Times New Roman"/>
          <w:color w:val="000000"/>
        </w:rPr>
        <w:t xml:space="preserve">《劳动者在合同履行期间要求集体协商的程序权利保障》 </w:t>
      </w:r>
    </w:p>
    <w:sectPr w:rsidR="00A46A04" w:rsidRPr="00C87B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62F"/>
    <w:multiLevelType w:val="singleLevel"/>
    <w:tmpl w:val="A198DF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67EBB"/>
    <w:multiLevelType w:val="singleLevel"/>
    <w:tmpl w:val="9B4AF3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F1740E"/>
    <w:multiLevelType w:val="singleLevel"/>
    <w:tmpl w:val="C62053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3913B3"/>
    <w:multiLevelType w:val="singleLevel"/>
    <w:tmpl w:val="416E72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8A2CE9"/>
    <w:multiLevelType w:val="singleLevel"/>
    <w:tmpl w:val="2042CA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B61FE4"/>
    <w:multiLevelType w:val="singleLevel"/>
    <w:tmpl w:val="9E3E34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9D5368"/>
    <w:multiLevelType w:val="singleLevel"/>
    <w:tmpl w:val="49000E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7308D7"/>
    <w:multiLevelType w:val="singleLevel"/>
    <w:tmpl w:val="027C8C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62B73"/>
    <w:multiLevelType w:val="singleLevel"/>
    <w:tmpl w:val="5B7E8D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3E6388"/>
    <w:multiLevelType w:val="singleLevel"/>
    <w:tmpl w:val="041AD3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E50479"/>
    <w:multiLevelType w:val="singleLevel"/>
    <w:tmpl w:val="DE98ED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685198"/>
    <w:multiLevelType w:val="singleLevel"/>
    <w:tmpl w:val="9A74BD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DD3F2B"/>
    <w:multiLevelType w:val="singleLevel"/>
    <w:tmpl w:val="BC602F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6220BA"/>
    <w:multiLevelType w:val="singleLevel"/>
    <w:tmpl w:val="7ECE28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8B4AB1"/>
    <w:multiLevelType w:val="singleLevel"/>
    <w:tmpl w:val="A5EA93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06FD5"/>
    <w:multiLevelType w:val="singleLevel"/>
    <w:tmpl w:val="0FA805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8A0B40"/>
    <w:multiLevelType w:val="singleLevel"/>
    <w:tmpl w:val="AE8847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B84AA6"/>
    <w:multiLevelType w:val="singleLevel"/>
    <w:tmpl w:val="206E83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B21183"/>
    <w:multiLevelType w:val="singleLevel"/>
    <w:tmpl w:val="7B1200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113337"/>
    <w:multiLevelType w:val="singleLevel"/>
    <w:tmpl w:val="F446E92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904A2A"/>
    <w:multiLevelType w:val="singleLevel"/>
    <w:tmpl w:val="E8F0C1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941BD2"/>
    <w:multiLevelType w:val="singleLevel"/>
    <w:tmpl w:val="12A464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1E6030"/>
    <w:multiLevelType w:val="singleLevel"/>
    <w:tmpl w:val="BC20B7E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493DE5"/>
    <w:multiLevelType w:val="singleLevel"/>
    <w:tmpl w:val="B20AAA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40160E"/>
    <w:multiLevelType w:val="singleLevel"/>
    <w:tmpl w:val="A198DF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490C00"/>
    <w:multiLevelType w:val="singleLevel"/>
    <w:tmpl w:val="270C77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F80772"/>
    <w:multiLevelType w:val="singleLevel"/>
    <w:tmpl w:val="23F856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AA250C"/>
    <w:multiLevelType w:val="singleLevel"/>
    <w:tmpl w:val="2FFC34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543389"/>
    <w:multiLevelType w:val="singleLevel"/>
    <w:tmpl w:val="28B624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908231E"/>
    <w:multiLevelType w:val="singleLevel"/>
    <w:tmpl w:val="27A8E6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E63810"/>
    <w:multiLevelType w:val="singleLevel"/>
    <w:tmpl w:val="8856BD2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221F6F"/>
    <w:multiLevelType w:val="singleLevel"/>
    <w:tmpl w:val="EBACD4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5A4108"/>
    <w:multiLevelType w:val="singleLevel"/>
    <w:tmpl w:val="26F86F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725E40"/>
    <w:multiLevelType w:val="singleLevel"/>
    <w:tmpl w:val="9F3675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A43562"/>
    <w:multiLevelType w:val="singleLevel"/>
    <w:tmpl w:val="82A215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F02389"/>
    <w:multiLevelType w:val="singleLevel"/>
    <w:tmpl w:val="48A670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937A6B"/>
    <w:multiLevelType w:val="singleLevel"/>
    <w:tmpl w:val="3E20CB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B45A16"/>
    <w:multiLevelType w:val="singleLevel"/>
    <w:tmpl w:val="8DC8C8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6215D5"/>
    <w:multiLevelType w:val="singleLevel"/>
    <w:tmpl w:val="76C25EA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130805"/>
    <w:multiLevelType w:val="singleLevel"/>
    <w:tmpl w:val="ECF064E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EC1F02"/>
    <w:multiLevelType w:val="singleLevel"/>
    <w:tmpl w:val="3C2264F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ED1BC9"/>
    <w:multiLevelType w:val="singleLevel"/>
    <w:tmpl w:val="3FC001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226A51"/>
    <w:multiLevelType w:val="singleLevel"/>
    <w:tmpl w:val="C56C6B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0F0D7D"/>
    <w:multiLevelType w:val="singleLevel"/>
    <w:tmpl w:val="EED2865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79A4988"/>
    <w:multiLevelType w:val="singleLevel"/>
    <w:tmpl w:val="A8D815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870D71"/>
    <w:multiLevelType w:val="singleLevel"/>
    <w:tmpl w:val="CFAA69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930463"/>
    <w:multiLevelType w:val="singleLevel"/>
    <w:tmpl w:val="BA6A05E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FF5528"/>
    <w:multiLevelType w:val="singleLevel"/>
    <w:tmpl w:val="5A68D9BA"/>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33"/>
  </w:num>
  <w:num w:numId="3">
    <w:abstractNumId w:val="42"/>
  </w:num>
  <w:num w:numId="4">
    <w:abstractNumId w:val="19"/>
  </w:num>
  <w:num w:numId="5">
    <w:abstractNumId w:val="45"/>
  </w:num>
  <w:num w:numId="6">
    <w:abstractNumId w:val="28"/>
  </w:num>
  <w:num w:numId="7">
    <w:abstractNumId w:val="29"/>
  </w:num>
  <w:num w:numId="8">
    <w:abstractNumId w:val="44"/>
  </w:num>
  <w:num w:numId="9">
    <w:abstractNumId w:val="34"/>
  </w:num>
  <w:num w:numId="10">
    <w:abstractNumId w:val="46"/>
  </w:num>
  <w:num w:numId="11">
    <w:abstractNumId w:val="10"/>
  </w:num>
  <w:num w:numId="12">
    <w:abstractNumId w:val="3"/>
  </w:num>
  <w:num w:numId="13">
    <w:abstractNumId w:val="40"/>
  </w:num>
  <w:num w:numId="14">
    <w:abstractNumId w:val="17"/>
  </w:num>
  <w:num w:numId="15">
    <w:abstractNumId w:val="16"/>
  </w:num>
  <w:num w:numId="16">
    <w:abstractNumId w:val="38"/>
  </w:num>
  <w:num w:numId="17">
    <w:abstractNumId w:val="15"/>
  </w:num>
  <w:num w:numId="18">
    <w:abstractNumId w:val="41"/>
  </w:num>
  <w:num w:numId="19">
    <w:abstractNumId w:val="18"/>
  </w:num>
  <w:num w:numId="20">
    <w:abstractNumId w:val="20"/>
  </w:num>
  <w:num w:numId="21">
    <w:abstractNumId w:val="39"/>
  </w:num>
  <w:num w:numId="22">
    <w:abstractNumId w:val="12"/>
  </w:num>
  <w:num w:numId="23">
    <w:abstractNumId w:val="35"/>
  </w:num>
  <w:num w:numId="24">
    <w:abstractNumId w:val="43"/>
  </w:num>
  <w:num w:numId="25">
    <w:abstractNumId w:val="26"/>
  </w:num>
  <w:num w:numId="26">
    <w:abstractNumId w:val="5"/>
  </w:num>
  <w:num w:numId="27">
    <w:abstractNumId w:val="31"/>
  </w:num>
  <w:num w:numId="28">
    <w:abstractNumId w:val="11"/>
  </w:num>
  <w:num w:numId="29">
    <w:abstractNumId w:val="21"/>
  </w:num>
  <w:num w:numId="30">
    <w:abstractNumId w:val="13"/>
  </w:num>
  <w:num w:numId="31">
    <w:abstractNumId w:val="7"/>
  </w:num>
  <w:num w:numId="32">
    <w:abstractNumId w:val="47"/>
  </w:num>
  <w:num w:numId="33">
    <w:abstractNumId w:val="9"/>
  </w:num>
  <w:num w:numId="34">
    <w:abstractNumId w:val="14"/>
  </w:num>
  <w:num w:numId="35">
    <w:abstractNumId w:val="2"/>
  </w:num>
  <w:num w:numId="36">
    <w:abstractNumId w:val="25"/>
  </w:num>
  <w:num w:numId="37">
    <w:abstractNumId w:val="30"/>
  </w:num>
  <w:num w:numId="38">
    <w:abstractNumId w:val="32"/>
  </w:num>
  <w:num w:numId="39">
    <w:abstractNumId w:val="36"/>
  </w:num>
  <w:num w:numId="40">
    <w:abstractNumId w:val="37"/>
  </w:num>
  <w:num w:numId="41">
    <w:abstractNumId w:val="4"/>
  </w:num>
  <w:num w:numId="42">
    <w:abstractNumId w:val="8"/>
  </w:num>
  <w:num w:numId="43">
    <w:abstractNumId w:val="22"/>
  </w:num>
  <w:num w:numId="44">
    <w:abstractNumId w:val="1"/>
  </w:num>
  <w:num w:numId="45">
    <w:abstractNumId w:val="23"/>
  </w:num>
  <w:num w:numId="46">
    <w:abstractNumId w:val="6"/>
  </w:num>
  <w:num w:numId="47">
    <w:abstractNumId w:val="24"/>
  </w:num>
  <w:num w:numId="48">
    <w:abstractNumId w:val="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7BDF"/>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7BDF"/>
    <w:pPr>
      <w:spacing w:after="120"/>
    </w:pPr>
  </w:style>
  <w:style w:type="character" w:customStyle="1" w:styleId="af6">
    <w:name w:val="正文文本 字符"/>
    <w:basedOn w:val="a0"/>
    <w:link w:val="af5"/>
    <w:uiPriority w:val="99"/>
    <w:rsid w:val="00C87B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210CC-3AEE-44F8-9187-10F23ECE1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2026-05-20T07:28:00Z</dcterms:created>
  <dcterms:modified xsi:type="dcterms:W3CDTF">2026-05-20T07:28:00Z</dcterms:modified>
</cp:coreProperties>
</file>