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7ED03E" w:rsidR="0049405C" w:rsidRPr="00187BAA" w:rsidRDefault="00CC178C" w:rsidP="00CC178C">
            <w:pPr>
              <w:spacing w:line="720" w:lineRule="auto"/>
              <w:rPr>
                <w:rFonts w:ascii="宋体" w:eastAsia="宋体" w:hAnsi="宋体"/>
                <w:color w:val="545551"/>
              </w:rPr>
            </w:pPr>
            <w:bookmarkStart w:id="0" w:name="xingming"/>
            <w:bookmarkStart w:id="1" w:name="_GoBack"/>
            <w:bookmarkEnd w:id="1"/>
            <w:r w:rsidRPr="00CC178C">
              <w:rPr>
                <w:rFonts w:ascii="宋体" w:eastAsia="宋体" w:hAnsi="Times New Roman" w:hint="eastAsia"/>
                <w:b/>
                <w:color w:val="000000"/>
                <w:sz w:val="48"/>
              </w:rPr>
              <w:t>郭强</w:t>
            </w:r>
            <w:bookmarkEnd w:id="0"/>
          </w:p>
          <w:p w14:paraId="661A67F0" w14:textId="77777777" w:rsidR="00CC178C" w:rsidRPr="00CC178C" w:rsidRDefault="00CC178C" w:rsidP="00CC178C">
            <w:pPr>
              <w:spacing w:line="360" w:lineRule="auto"/>
              <w:rPr>
                <w:rFonts w:ascii="宋体" w:eastAsia="宋体" w:hAnsi="Times New Roman"/>
                <w:b/>
                <w:bCs/>
                <w:color w:val="000000"/>
              </w:rPr>
            </w:pPr>
            <w:bookmarkStart w:id="2" w:name="didian"/>
            <w:r w:rsidRPr="00CC178C">
              <w:rPr>
                <w:rFonts w:ascii="宋体" w:eastAsia="宋体" w:hAnsi="Times New Roman" w:hint="eastAsia"/>
                <w:b/>
                <w:bCs/>
                <w:color w:val="000000"/>
              </w:rPr>
              <w:t>合伙人·北京</w:t>
            </w:r>
          </w:p>
          <w:p w14:paraId="706EB16B" w14:textId="1E1255E1" w:rsidR="0049405C" w:rsidRPr="00187BAA" w:rsidRDefault="00CC178C" w:rsidP="00CC178C">
            <w:pPr>
              <w:spacing w:line="360" w:lineRule="auto"/>
              <w:rPr>
                <w:rFonts w:ascii="宋体" w:eastAsia="宋体" w:hAnsi="宋体"/>
                <w:b/>
                <w:bCs/>
                <w:color w:val="545551"/>
              </w:rPr>
            </w:pPr>
            <w:r w:rsidRPr="00CC178C">
              <w:rPr>
                <w:rFonts w:ascii="宋体" w:eastAsia="宋体" w:hAnsi="Times New Roman" w:hint="eastAsia"/>
                <w:b/>
                <w:bCs/>
                <w:color w:val="000000"/>
              </w:rPr>
              <w:t>注册外地律师（中国）·香港</w:t>
            </w:r>
            <w:bookmarkEnd w:id="2"/>
          </w:p>
          <w:p w14:paraId="6199424A" w14:textId="40755D99" w:rsidR="0049405C" w:rsidRPr="00187BAA" w:rsidRDefault="00CC178C" w:rsidP="00CC178C">
            <w:pPr>
              <w:spacing w:line="360" w:lineRule="auto"/>
              <w:rPr>
                <w:rFonts w:ascii="宋体" w:eastAsia="宋体" w:hAnsi="宋体"/>
                <w:color w:val="545551"/>
              </w:rPr>
            </w:pPr>
            <w:bookmarkStart w:id="3" w:name="dianhua"/>
            <w:r w:rsidRPr="00CC178C">
              <w:rPr>
                <w:rFonts w:ascii="宋体" w:eastAsia="宋体" w:hAnsi="Times New Roman"/>
                <w:color w:val="000000"/>
              </w:rPr>
              <w:t xml:space="preserve">+86 10 5769 5600 / +852 3976 8888 </w:t>
            </w:r>
            <w:bookmarkEnd w:id="3"/>
          </w:p>
          <w:p w14:paraId="4F910ACA" w14:textId="71948DA5" w:rsidR="0049405C" w:rsidRPr="00187BAA" w:rsidRDefault="00CC178C" w:rsidP="00CC178C">
            <w:pPr>
              <w:spacing w:line="360" w:lineRule="auto"/>
              <w:rPr>
                <w:rFonts w:ascii="宋体" w:eastAsia="宋体" w:hAnsi="宋体"/>
                <w:color w:val="000000"/>
              </w:rPr>
            </w:pPr>
            <w:bookmarkStart w:id="4" w:name="youxiang"/>
            <w:r w:rsidRPr="00CC178C">
              <w:rPr>
                <w:rFonts w:ascii="宋体" w:eastAsia="宋体" w:hAnsi="Times New Roman"/>
                <w:color w:val="000000"/>
              </w:rPr>
              <w:t>richard.guo@fangdalaw.com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E7B627" w:rsidR="0049405C" w:rsidRPr="00187BAA" w:rsidRDefault="00CC178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43D3FA" wp14:editId="2B6D77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0AF5B0" w:rsidR="009465FB" w:rsidRPr="00187BAA" w:rsidRDefault="00CC178C" w:rsidP="007177F3">
            <w:pPr>
              <w:rPr>
                <w:rFonts w:ascii="宋体" w:eastAsia="宋体" w:hAnsi="宋体"/>
                <w:color w:val="000000"/>
                <w:szCs w:val="21"/>
              </w:rPr>
            </w:pPr>
            <w:bookmarkStart w:id="6" w:name="zhiyelingyu"/>
            <w:r w:rsidRPr="00CC178C">
              <w:rPr>
                <w:rFonts w:ascii="宋体" w:eastAsia="宋体" w:hAnsi="Times New Roman" w:hint="eastAsia"/>
                <w:color w:val="000000"/>
                <w:szCs w:val="21"/>
              </w:rPr>
              <w:t>郭律师的执业领域包括私人股权（专注于基金设立、基金交易、下游投资及基金监管和调查事宜）、资产管理及兼并收购。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80E954" w14:textId="77777777" w:rsidR="00CC178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EB8C16"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近期代理的主要案件</w:t>
      </w:r>
    </w:p>
    <w:p w14:paraId="2A344CCE" w14:textId="77777777" w:rsidR="00CC178C" w:rsidRDefault="00CC178C" w:rsidP="00CC178C">
      <w:pPr>
        <w:pStyle w:val="af5"/>
        <w:spacing w:before="120"/>
        <w:rPr>
          <w:rFonts w:ascii="宋体" w:eastAsia="宋体" w:hAnsi="Times New Roman"/>
          <w:color w:val="000000"/>
        </w:rPr>
      </w:pPr>
    </w:p>
    <w:p w14:paraId="5FA28416"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郭律师是本所投资基金业务的主管合伙人。他为客户提供涉及各类替代投资工具（包括私募股权投资基金、联合投资基金、母基金、企业创投基金及单独管理账户）的结构设计、架构重组、设立及运营等方面的法律服务，覆盖众多投资领域及策略（包括创业投资、并购、基础设施及地产、夹层及信贷及私募股权二级市场机会）。郭律师是很多开创性或目前已广为采用的人民币基金结构的设计者。</w:t>
      </w:r>
    </w:p>
    <w:p w14:paraId="1AD21D08"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郭律师代表顶级基金管理人发起设立投资基金及从事相关业务，他的代表性客户包括英联资本、阿里巴巴集团、霸菱私募亚洲、黑石集团、博裕资本、凯雷集团、中金资本、中信资本、德劭资本、方源资本、高盛、弘毅投资、厚朴投资、IDG资本、摩根大通、KKR、摩根士丹利、橡树资本、太盟、春华资本、普罗维登斯、赛富、银湖资本、德太集团及华平投资集团等。</w:t>
      </w:r>
    </w:p>
    <w:p w14:paraId="433DD04F"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除代表普通合伙人外，郭律师还代表精选知名机构投资人（包括主权财富基金、上市公司、国企、保险公司及其他金融机构）投资于全球范围内的私募投资基金。</w:t>
      </w:r>
    </w:p>
    <w:p w14:paraId="326C819B"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郭律师在代表私募投资基金进行下游投资和并购交易方面也拥有丰富经验，涉及跨度广泛的行业，尤其擅长处理各类复杂跨境事务，特别是涉及各类全国性或地方性试点项目（如QDII、 QFLP、QDLP、 QDIE及ODI）的法律和监管事宜。</w:t>
      </w:r>
    </w:p>
    <w:p w14:paraId="59D90C87"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近年来郭律师积极参与了快速发展的人民币私募股权二级市场，在多项里程碑式的基金交易中为客户提供定制化法律服务，其中包括第一支外资发起的人民币S基金募集设立、第一只QFLP S基金、第一批GP主导的基金重组交易、第一批跨境接续基金和第一批跨境GP权益交易。</w:t>
      </w:r>
    </w:p>
    <w:p w14:paraId="3C1DC96C" w14:textId="77777777" w:rsidR="00CC178C" w:rsidRDefault="00CC178C" w:rsidP="00CC178C">
      <w:pPr>
        <w:pStyle w:val="af5"/>
        <w:spacing w:before="120"/>
        <w:rPr>
          <w:rFonts w:ascii="宋体" w:eastAsia="宋体" w:hAnsi="Times New Roman"/>
          <w:color w:val="000000"/>
        </w:rPr>
      </w:pPr>
      <w:r>
        <w:rPr>
          <w:rFonts w:ascii="宋体" w:eastAsia="宋体" w:hAnsi="Times New Roman" w:hint="eastAsia"/>
          <w:color w:val="000000"/>
        </w:rPr>
        <w:t>郭律师在资本市场交易方面的丰富经验使得他拥有得天独厚的优势，能够为基金客户提供投资基金及基金管理公司首次公开发行和挂牌交易方面的专业法律建议。郭律师近期代表性资本市场交易包括丰树大中华商业信托的首次公开发行（代表承销商），该交易是新加坡最大的房地产信托首次公开发行交易之一。</w:t>
      </w:r>
    </w:p>
    <w:p w14:paraId="4824B937"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教育背景</w:t>
      </w:r>
    </w:p>
    <w:p w14:paraId="6C5F0FAD" w14:textId="77777777" w:rsidR="00CC178C" w:rsidRDefault="00CC178C" w:rsidP="00CC178C">
      <w:pPr>
        <w:pStyle w:val="af5"/>
        <w:numPr>
          <w:ilvl w:val="0"/>
          <w:numId w:val="4"/>
        </w:numPr>
        <w:spacing w:before="120"/>
        <w:ind w:left="690" w:hanging="240"/>
        <w:rPr>
          <w:rFonts w:ascii="宋体" w:eastAsia="宋体" w:hAnsi="Times New Roman"/>
          <w:color w:val="000000"/>
        </w:rPr>
      </w:pPr>
      <w:r w:rsidRPr="00CC178C">
        <w:rPr>
          <w:rFonts w:ascii="宋体" w:eastAsia="宋体" w:hAnsi="Times New Roman" w:hint="eastAsia"/>
          <w:color w:val="000000"/>
        </w:rPr>
        <w:t>美国纽约大学法学院，法律博士（</w:t>
      </w:r>
      <w:r w:rsidRPr="00CC178C">
        <w:rPr>
          <w:rFonts w:ascii="宋体" w:eastAsia="宋体" w:hAnsi="Times New Roman"/>
          <w:color w:val="000000"/>
        </w:rPr>
        <w:t>J.D.）</w:t>
      </w:r>
    </w:p>
    <w:p w14:paraId="4AC607EE" w14:textId="77777777" w:rsidR="00CC178C" w:rsidRDefault="00CC178C" w:rsidP="00CC178C">
      <w:pPr>
        <w:pStyle w:val="af5"/>
        <w:numPr>
          <w:ilvl w:val="0"/>
          <w:numId w:val="5"/>
        </w:numPr>
        <w:spacing w:before="120"/>
        <w:ind w:left="690" w:hanging="240"/>
        <w:rPr>
          <w:rFonts w:ascii="宋体" w:eastAsia="宋体" w:hAnsi="Times New Roman"/>
          <w:color w:val="000000"/>
        </w:rPr>
      </w:pPr>
      <w:r w:rsidRPr="00CC178C">
        <w:rPr>
          <w:rFonts w:ascii="宋体" w:eastAsia="宋体" w:hAnsi="Times New Roman" w:hint="eastAsia"/>
          <w:color w:val="000000"/>
        </w:rPr>
        <w:t>中国政法大学</w:t>
      </w:r>
      <w:r w:rsidRPr="00CC178C">
        <w:rPr>
          <w:rFonts w:ascii="宋体" w:eastAsia="宋体" w:hAnsi="Times New Roman"/>
          <w:color w:val="000000"/>
        </w:rPr>
        <w:t xml:space="preserve"> 法学学士，国际法硕士</w:t>
      </w:r>
    </w:p>
    <w:p w14:paraId="0CF7447F"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执业资格</w:t>
      </w:r>
    </w:p>
    <w:p w14:paraId="57F1E07A" w14:textId="77777777" w:rsidR="00CC178C" w:rsidRDefault="00CC178C" w:rsidP="00CC178C">
      <w:pPr>
        <w:pStyle w:val="af5"/>
        <w:numPr>
          <w:ilvl w:val="0"/>
          <w:numId w:val="6"/>
        </w:numPr>
        <w:spacing w:before="120"/>
        <w:ind w:left="690" w:hanging="240"/>
        <w:rPr>
          <w:rFonts w:ascii="宋体" w:eastAsia="宋体" w:hAnsi="Times New Roman"/>
          <w:color w:val="000000"/>
        </w:rPr>
      </w:pPr>
      <w:r w:rsidRPr="00CC178C">
        <w:rPr>
          <w:rFonts w:ascii="宋体" w:eastAsia="宋体" w:hAnsi="Times New Roman" w:hint="eastAsia"/>
          <w:color w:val="000000"/>
        </w:rPr>
        <w:t>中华人民共和国执业律师</w:t>
      </w:r>
    </w:p>
    <w:p w14:paraId="3F51CF2B" w14:textId="77777777" w:rsidR="00CC178C" w:rsidRDefault="00CC178C" w:rsidP="00CC178C">
      <w:pPr>
        <w:pStyle w:val="af5"/>
        <w:numPr>
          <w:ilvl w:val="0"/>
          <w:numId w:val="7"/>
        </w:numPr>
        <w:spacing w:before="120"/>
        <w:ind w:left="690" w:hanging="240"/>
        <w:rPr>
          <w:rFonts w:ascii="宋体" w:eastAsia="宋体" w:hAnsi="Times New Roman"/>
          <w:color w:val="000000"/>
        </w:rPr>
      </w:pPr>
      <w:r w:rsidRPr="00CC178C">
        <w:rPr>
          <w:rFonts w:ascii="宋体" w:eastAsia="宋体" w:hAnsi="Times New Roman" w:hint="eastAsia"/>
          <w:color w:val="000000"/>
        </w:rPr>
        <w:t>美国纽约州律师资格</w:t>
      </w:r>
    </w:p>
    <w:p w14:paraId="11FF767F" w14:textId="77777777" w:rsidR="00CC178C" w:rsidRDefault="00CC178C" w:rsidP="00CC178C">
      <w:pPr>
        <w:pStyle w:val="af5"/>
        <w:numPr>
          <w:ilvl w:val="0"/>
          <w:numId w:val="8"/>
        </w:numPr>
        <w:spacing w:before="120"/>
        <w:ind w:left="690" w:hanging="240"/>
        <w:rPr>
          <w:rFonts w:ascii="宋体" w:eastAsia="宋体" w:hAnsi="Times New Roman"/>
          <w:color w:val="000000"/>
        </w:rPr>
      </w:pPr>
      <w:r w:rsidRPr="00CC178C">
        <w:rPr>
          <w:rFonts w:ascii="宋体" w:eastAsia="宋体" w:hAnsi="Times New Roman" w:hint="eastAsia"/>
          <w:color w:val="000000"/>
        </w:rPr>
        <w:t>香港特别行政区注册外地律师</w:t>
      </w:r>
    </w:p>
    <w:p w14:paraId="4647D597"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职业背景</w:t>
      </w:r>
    </w:p>
    <w:p w14:paraId="75085D4E" w14:textId="77777777" w:rsidR="00CC178C" w:rsidRDefault="00CC178C" w:rsidP="00CC178C">
      <w:pPr>
        <w:pStyle w:val="af5"/>
        <w:numPr>
          <w:ilvl w:val="0"/>
          <w:numId w:val="9"/>
        </w:numPr>
        <w:spacing w:before="120"/>
        <w:ind w:left="690" w:hanging="240"/>
        <w:rPr>
          <w:rFonts w:ascii="宋体" w:eastAsia="宋体" w:hAnsi="Times New Roman"/>
          <w:color w:val="000000"/>
        </w:rPr>
      </w:pPr>
      <w:r w:rsidRPr="00CC178C">
        <w:rPr>
          <w:rFonts w:ascii="宋体" w:eastAsia="宋体" w:hAnsi="Times New Roman" w:hint="eastAsia"/>
          <w:color w:val="000000"/>
        </w:rPr>
        <w:t>郭律师在私募股权投资及投资基金业务领域有超过二十年的执业经验。于</w:t>
      </w:r>
      <w:r w:rsidRPr="00CC178C">
        <w:rPr>
          <w:rFonts w:ascii="宋体" w:eastAsia="宋体" w:hAnsi="Times New Roman"/>
          <w:color w:val="000000"/>
        </w:rPr>
        <w:t>2007年作为合伙人加入方达北京办公室之前，郭律师于2001年至2007年间在两家华尔街律师事务所的纽约总部、香港及上海代表处执业。</w:t>
      </w:r>
    </w:p>
    <w:p w14:paraId="758C1767" w14:textId="77777777" w:rsidR="00CC178C" w:rsidRDefault="00CC178C" w:rsidP="00CC178C">
      <w:pPr>
        <w:pStyle w:val="af5"/>
        <w:numPr>
          <w:ilvl w:val="0"/>
          <w:numId w:val="10"/>
        </w:numPr>
        <w:spacing w:before="120"/>
        <w:ind w:left="690" w:hanging="240"/>
        <w:rPr>
          <w:rFonts w:ascii="宋体" w:eastAsia="宋体" w:hAnsi="Times New Roman"/>
          <w:color w:val="000000"/>
        </w:rPr>
      </w:pPr>
      <w:r w:rsidRPr="00CC178C">
        <w:rPr>
          <w:rFonts w:ascii="宋体" w:eastAsia="宋体" w:hAnsi="Times New Roman" w:hint="eastAsia"/>
          <w:color w:val="000000"/>
        </w:rPr>
        <w:t>郭律师曾先后担任国家科技成果转化引导基金理事会理事、中华股权投资协会行业政策委员会特别法律顾问以及香港创业及私募投资协会技术委员会委员等社会职务。</w:t>
      </w:r>
    </w:p>
    <w:p w14:paraId="7DDB415C"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其他信息</w:t>
      </w:r>
    </w:p>
    <w:p w14:paraId="53F7D13E"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出版物</w:t>
      </w:r>
    </w:p>
    <w:p w14:paraId="5DB746E3" w14:textId="77777777" w:rsidR="00CC178C" w:rsidRDefault="00CC178C" w:rsidP="00CC178C">
      <w:pPr>
        <w:pStyle w:val="af5"/>
        <w:numPr>
          <w:ilvl w:val="0"/>
          <w:numId w:val="11"/>
        </w:numPr>
        <w:spacing w:before="120"/>
        <w:ind w:left="690" w:hanging="240"/>
        <w:rPr>
          <w:rFonts w:ascii="宋体" w:eastAsia="宋体" w:hAnsi="Times New Roman"/>
          <w:color w:val="000000"/>
        </w:rPr>
      </w:pPr>
      <w:r w:rsidRPr="00CC178C">
        <w:rPr>
          <w:rFonts w:ascii="宋体" w:eastAsia="宋体" w:hAnsi="Times New Roman"/>
          <w:color w:val="000000"/>
        </w:rPr>
        <w:t>郭律师经常就涉及私募股权投资、投资基金及资产管理业务的话题著书立说。他的近期著作包括《人民币基金法律与实务指引》（中文）（主编）（法律出版社，2021年6月第一版）、《中国资产管理</w:t>
      </w:r>
      <w:r w:rsidRPr="00CC178C">
        <w:rPr>
          <w:rFonts w:ascii="宋体" w:eastAsia="宋体" w:hAnsi="Times New Roman"/>
          <w:color w:val="000000"/>
        </w:rPr>
        <w:t>—</w:t>
      </w:r>
      <w:r w:rsidRPr="00CC178C">
        <w:rPr>
          <w:rFonts w:ascii="宋体" w:eastAsia="宋体" w:hAnsi="Times New Roman"/>
          <w:color w:val="000000"/>
        </w:rPr>
        <w:t xml:space="preserve">法律和监管的路径》（中文）（主编）（中国政法大学出版社，2015年1月第一版）以及《资产管理评论（中国篇）》（英文）（合著）（法律商业研究公司,伦敦，2014、2015及2016年版）。 </w:t>
      </w:r>
    </w:p>
    <w:p w14:paraId="0A45C898" w14:textId="77777777" w:rsidR="00CC178C" w:rsidRDefault="00CC178C" w:rsidP="00CC178C">
      <w:pPr>
        <w:pStyle w:val="af5"/>
        <w:spacing w:after="0" w:line="480" w:lineRule="auto"/>
        <w:rPr>
          <w:rFonts w:ascii="宋体" w:eastAsia="宋体" w:hAnsi="宋体"/>
          <w:b/>
          <w:sz w:val="24"/>
        </w:rPr>
      </w:pPr>
      <w:r w:rsidRPr="00CC178C">
        <w:rPr>
          <w:rFonts w:ascii="宋体" w:eastAsia="宋体" w:hAnsi="宋体" w:hint="eastAsia"/>
          <w:b/>
          <w:sz w:val="24"/>
        </w:rPr>
        <w:t>获奖情况</w:t>
      </w:r>
    </w:p>
    <w:p w14:paraId="4F0A196B" w14:textId="12B171CC" w:rsidR="00A46A04" w:rsidRPr="00CC178C" w:rsidRDefault="00CC178C" w:rsidP="00CC178C">
      <w:pPr>
        <w:pStyle w:val="af5"/>
        <w:numPr>
          <w:ilvl w:val="0"/>
          <w:numId w:val="12"/>
        </w:numPr>
        <w:spacing w:before="120"/>
        <w:ind w:left="690" w:hanging="240"/>
        <w:rPr>
          <w:rFonts w:ascii="宋体" w:eastAsia="宋体" w:hAnsi="Times New Roman"/>
          <w:color w:val="000000"/>
        </w:rPr>
      </w:pPr>
      <w:r w:rsidRPr="00CC178C">
        <w:rPr>
          <w:rFonts w:ascii="宋体" w:eastAsia="宋体" w:hAnsi="Times New Roman"/>
          <w:color w:val="000000"/>
        </w:rPr>
        <w:t>郭律师是中国投资基金领域公认的领先权威，参与了众多具有里程碑意义的交易。自《钱伯斯（亚太）》（2022年起改名《钱伯斯（大中华）》）2011年设立投资基金业务评级以来，郭律师连年被评为该组别第一等级（也是该等级多年唯一上榜律师）。《钱伯斯（亚太）》指出，郭律师</w:t>
      </w:r>
      <w:r w:rsidRPr="00CC178C">
        <w:rPr>
          <w:rFonts w:ascii="宋体" w:eastAsia="宋体" w:hAnsi="Times New Roman"/>
          <w:color w:val="000000"/>
        </w:rPr>
        <w:t>“</w:t>
      </w:r>
      <w:r w:rsidRPr="00CC178C">
        <w:rPr>
          <w:rFonts w:ascii="宋体" w:eastAsia="宋体" w:hAnsi="Times New Roman"/>
          <w:color w:val="000000"/>
        </w:rPr>
        <w:t>是中国基金设立领域的开创者之一</w:t>
      </w:r>
      <w:r w:rsidRPr="00CC178C">
        <w:rPr>
          <w:rFonts w:ascii="宋体" w:eastAsia="宋体" w:hAnsi="Times New Roman"/>
          <w:color w:val="000000"/>
        </w:rPr>
        <w:t>”</w:t>
      </w:r>
      <w:r w:rsidRPr="00CC178C">
        <w:rPr>
          <w:rFonts w:ascii="宋体" w:eastAsia="宋体" w:hAnsi="Times New Roman"/>
          <w:color w:val="000000"/>
        </w:rPr>
        <w:t>，</w:t>
      </w:r>
      <w:r w:rsidRPr="00CC178C">
        <w:rPr>
          <w:rFonts w:ascii="宋体" w:eastAsia="宋体" w:hAnsi="Times New Roman"/>
          <w:color w:val="000000"/>
        </w:rPr>
        <w:t>“</w:t>
      </w:r>
      <w:r w:rsidRPr="00CC178C">
        <w:rPr>
          <w:rFonts w:ascii="宋体" w:eastAsia="宋体" w:hAnsi="Times New Roman"/>
          <w:color w:val="000000"/>
        </w:rPr>
        <w:t>被誉为该领域的首选律师</w:t>
      </w:r>
      <w:r w:rsidRPr="00CC178C">
        <w:rPr>
          <w:rFonts w:ascii="宋体" w:eastAsia="宋体" w:hAnsi="Times New Roman"/>
          <w:color w:val="000000"/>
        </w:rPr>
        <w:t>”</w:t>
      </w:r>
      <w:r w:rsidRPr="00CC178C">
        <w:rPr>
          <w:rFonts w:ascii="宋体" w:eastAsia="宋体" w:hAnsi="Times New Roman"/>
          <w:color w:val="000000"/>
        </w:rPr>
        <w:t>、</w:t>
      </w:r>
      <w:r w:rsidRPr="00CC178C">
        <w:rPr>
          <w:rFonts w:ascii="宋体" w:eastAsia="宋体" w:hAnsi="Times New Roman"/>
          <w:color w:val="000000"/>
        </w:rPr>
        <w:t>“</w:t>
      </w:r>
      <w:r w:rsidRPr="00CC178C">
        <w:rPr>
          <w:rFonts w:ascii="宋体" w:eastAsia="宋体" w:hAnsi="Times New Roman"/>
          <w:color w:val="000000"/>
        </w:rPr>
        <w:t>该领域专业知识最丰富的律师</w:t>
      </w:r>
      <w:r w:rsidRPr="00CC178C">
        <w:rPr>
          <w:rFonts w:ascii="宋体" w:eastAsia="宋体" w:hAnsi="Times New Roman"/>
          <w:color w:val="000000"/>
        </w:rPr>
        <w:t>”</w:t>
      </w:r>
      <w:r w:rsidRPr="00CC178C">
        <w:rPr>
          <w:rFonts w:ascii="宋体" w:eastAsia="宋体" w:hAnsi="Times New Roman"/>
          <w:color w:val="000000"/>
        </w:rPr>
        <w:t>以及</w:t>
      </w:r>
      <w:r w:rsidRPr="00CC178C">
        <w:rPr>
          <w:rFonts w:ascii="宋体" w:eastAsia="宋体" w:hAnsi="Times New Roman"/>
          <w:color w:val="000000"/>
        </w:rPr>
        <w:t>“</w:t>
      </w:r>
      <w:r w:rsidRPr="00CC178C">
        <w:rPr>
          <w:rFonts w:ascii="宋体" w:eastAsia="宋体" w:hAnsi="Times New Roman"/>
          <w:color w:val="000000"/>
        </w:rPr>
        <w:t>该领域的当然领导者</w:t>
      </w:r>
      <w:r w:rsidRPr="00CC178C">
        <w:rPr>
          <w:rFonts w:ascii="宋体" w:eastAsia="宋体" w:hAnsi="Times New Roman"/>
          <w:color w:val="000000"/>
        </w:rPr>
        <w:t>”</w:t>
      </w:r>
      <w:r w:rsidRPr="00CC178C">
        <w:rPr>
          <w:rFonts w:ascii="宋体" w:eastAsia="宋体" w:hAnsi="Times New Roman"/>
          <w:color w:val="000000"/>
        </w:rPr>
        <w:t>。同时，</w:t>
      </w:r>
      <w:r w:rsidRPr="00CC178C">
        <w:rPr>
          <w:rFonts w:ascii="宋体" w:eastAsia="宋体" w:hAnsi="Times New Roman"/>
          <w:color w:val="000000"/>
        </w:rPr>
        <w:t>“</w:t>
      </w:r>
      <w:r w:rsidRPr="00CC178C">
        <w:rPr>
          <w:rFonts w:ascii="宋体" w:eastAsia="宋体" w:hAnsi="Times New Roman"/>
          <w:color w:val="000000"/>
        </w:rPr>
        <w:t>由于其在基金和私人股权业务方面的造诣而广受客户赞誉</w:t>
      </w:r>
      <w:r w:rsidRPr="00CC178C">
        <w:rPr>
          <w:rFonts w:ascii="宋体" w:eastAsia="宋体" w:hAnsi="Times New Roman"/>
          <w:color w:val="000000"/>
        </w:rPr>
        <w:t>”</w:t>
      </w:r>
      <w:r w:rsidRPr="00CC178C">
        <w:rPr>
          <w:rFonts w:ascii="宋体" w:eastAsia="宋体" w:hAnsi="Times New Roman"/>
          <w:color w:val="000000"/>
        </w:rPr>
        <w:t>而被《亚洲法律》、《国际金融法律评论1000强》、《法律名人堂》</w:t>
      </w:r>
      <w:r w:rsidRPr="00CC178C">
        <w:rPr>
          <w:rFonts w:ascii="宋体" w:eastAsia="宋体" w:hAnsi="Times New Roman" w:hint="eastAsia"/>
          <w:color w:val="000000"/>
        </w:rPr>
        <w:t>（</w:t>
      </w:r>
      <w:r w:rsidRPr="00CC178C">
        <w:rPr>
          <w:rFonts w:ascii="宋体" w:eastAsia="宋体" w:hAnsi="Times New Roman"/>
          <w:color w:val="000000"/>
        </w:rPr>
        <w:t xml:space="preserve">2012年度唯一中国律师）、总部设于伦敦的Legal Media Group之《专家指引》、Practical Law Company等权威专业期刊评为私人股权业务和/或投资基金业务杰出律师。自《国际金融法律评论》（IFLR）2020年首度推出亚洲最佳律师排名以来连年上榜。 </w:t>
      </w:r>
    </w:p>
    <w:sectPr w:rsidR="00A46A04" w:rsidRPr="00CC17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87E49"/>
    <w:multiLevelType w:val="singleLevel"/>
    <w:tmpl w:val="AD762B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D871DD"/>
    <w:multiLevelType w:val="singleLevel"/>
    <w:tmpl w:val="2E9435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AD4271"/>
    <w:multiLevelType w:val="singleLevel"/>
    <w:tmpl w:val="78CCCD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3686881"/>
    <w:multiLevelType w:val="singleLevel"/>
    <w:tmpl w:val="6EF2BF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6133914"/>
    <w:multiLevelType w:val="singleLevel"/>
    <w:tmpl w:val="C4D6C9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7A85F46"/>
    <w:multiLevelType w:val="singleLevel"/>
    <w:tmpl w:val="78CCCD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C006EFF"/>
    <w:multiLevelType w:val="singleLevel"/>
    <w:tmpl w:val="4A74D5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90E2DD2"/>
    <w:multiLevelType w:val="singleLevel"/>
    <w:tmpl w:val="B6FC85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B4C364C"/>
    <w:multiLevelType w:val="singleLevel"/>
    <w:tmpl w:val="217CD6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E97576F"/>
    <w:multiLevelType w:val="singleLevel"/>
    <w:tmpl w:val="8742825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4"/>
  </w:num>
  <w:num w:numId="4">
    <w:abstractNumId w:val="1"/>
  </w:num>
  <w:num w:numId="5">
    <w:abstractNumId w:val="8"/>
  </w:num>
  <w:num w:numId="6">
    <w:abstractNumId w:val="0"/>
  </w:num>
  <w:num w:numId="7">
    <w:abstractNumId w:val="9"/>
  </w:num>
  <w:num w:numId="8">
    <w:abstractNumId w:val="5"/>
  </w:num>
  <w:num w:numId="9">
    <w:abstractNumId w:val="10"/>
  </w:num>
  <w:num w:numId="10">
    <w:abstractNumId w:val="1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C178C"/>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C178C"/>
    <w:pPr>
      <w:spacing w:after="120"/>
    </w:pPr>
  </w:style>
  <w:style w:type="character" w:customStyle="1" w:styleId="af6">
    <w:name w:val="正文文本 字符"/>
    <w:basedOn w:val="a0"/>
    <w:link w:val="af5"/>
    <w:uiPriority w:val="99"/>
    <w:rsid w:val="00CC17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8BB90-A716-43C3-A47B-4E2B5B172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2026-09-09T12:14:00Z</dcterms:created>
  <dcterms:modified xsi:type="dcterms:W3CDTF">2026-09-09T12:14:00Z</dcterms:modified>
</cp:coreProperties>
</file>