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AA3DD1" w:rsidR="0049405C" w:rsidRPr="00187BAA" w:rsidRDefault="008B4628" w:rsidP="008B4628">
            <w:pPr>
              <w:spacing w:line="720" w:lineRule="auto"/>
              <w:rPr>
                <w:rFonts w:ascii="宋体" w:eastAsia="宋体" w:hAnsi="宋体"/>
                <w:color w:val="545551"/>
              </w:rPr>
            </w:pPr>
            <w:bookmarkStart w:id="0" w:name="xingming"/>
            <w:bookmarkStart w:id="1" w:name="_GoBack"/>
            <w:bookmarkEnd w:id="1"/>
            <w:r w:rsidRPr="008B4628">
              <w:rPr>
                <w:rFonts w:ascii="宋体" w:eastAsia="宋体" w:hAnsi="Times New Roman" w:hint="eastAsia"/>
                <w:b/>
                <w:color w:val="000000"/>
                <w:sz w:val="48"/>
              </w:rPr>
              <w:t>钟奇</w:t>
            </w:r>
            <w:bookmarkEnd w:id="0"/>
          </w:p>
          <w:p w14:paraId="5E6EC8EE" w14:textId="77777777" w:rsidR="008B4628" w:rsidRPr="008B4628" w:rsidRDefault="008B4628" w:rsidP="008B4628">
            <w:pPr>
              <w:spacing w:line="360" w:lineRule="auto"/>
              <w:rPr>
                <w:rFonts w:ascii="宋体" w:eastAsia="宋体" w:hAnsi="Times New Roman"/>
                <w:b/>
                <w:bCs/>
                <w:color w:val="000000"/>
              </w:rPr>
            </w:pPr>
            <w:bookmarkStart w:id="2" w:name="didian"/>
            <w:r w:rsidRPr="008B4628">
              <w:rPr>
                <w:rFonts w:ascii="宋体" w:eastAsia="宋体" w:hAnsi="Times New Roman" w:hint="eastAsia"/>
                <w:b/>
                <w:bCs/>
                <w:color w:val="000000"/>
              </w:rPr>
              <w:t>合伙人·上海</w:t>
            </w:r>
          </w:p>
          <w:p w14:paraId="706EB16B" w14:textId="5B1F3D4F" w:rsidR="0049405C" w:rsidRPr="00187BAA" w:rsidRDefault="008B4628" w:rsidP="008B4628">
            <w:pPr>
              <w:spacing w:line="360" w:lineRule="auto"/>
              <w:rPr>
                <w:rFonts w:ascii="宋体" w:eastAsia="宋体" w:hAnsi="宋体"/>
                <w:b/>
                <w:bCs/>
                <w:color w:val="545551"/>
              </w:rPr>
            </w:pPr>
            <w:r w:rsidRPr="008B4628">
              <w:rPr>
                <w:rFonts w:ascii="宋体" w:eastAsia="宋体" w:hAnsi="Times New Roman" w:hint="eastAsia"/>
                <w:b/>
                <w:bCs/>
                <w:color w:val="000000"/>
              </w:rPr>
              <w:t>注册外地律师（中国）·香港</w:t>
            </w:r>
            <w:bookmarkEnd w:id="2"/>
          </w:p>
          <w:p w14:paraId="6199424A" w14:textId="587FDA49" w:rsidR="0049405C" w:rsidRPr="00187BAA" w:rsidRDefault="008B4628" w:rsidP="008B4628">
            <w:pPr>
              <w:spacing w:line="360" w:lineRule="auto"/>
              <w:rPr>
                <w:rFonts w:ascii="宋体" w:eastAsia="宋体" w:hAnsi="宋体"/>
                <w:color w:val="545551"/>
              </w:rPr>
            </w:pPr>
            <w:bookmarkStart w:id="3" w:name="dianhua"/>
            <w:r w:rsidRPr="008B4628">
              <w:rPr>
                <w:rFonts w:ascii="宋体" w:eastAsia="宋体" w:hAnsi="Times New Roman"/>
                <w:color w:val="000000"/>
              </w:rPr>
              <w:t xml:space="preserve">+86 21 2208 1138 / +852 3976 8813 </w:t>
            </w:r>
            <w:bookmarkEnd w:id="3"/>
          </w:p>
          <w:p w14:paraId="4F910ACA" w14:textId="3BE61383" w:rsidR="0049405C" w:rsidRPr="00187BAA" w:rsidRDefault="008B4628" w:rsidP="008B4628">
            <w:pPr>
              <w:spacing w:line="360" w:lineRule="auto"/>
              <w:rPr>
                <w:rFonts w:ascii="宋体" w:eastAsia="宋体" w:hAnsi="宋体"/>
                <w:color w:val="000000"/>
              </w:rPr>
            </w:pPr>
            <w:bookmarkStart w:id="4" w:name="youxiang"/>
            <w:r w:rsidRPr="008B4628">
              <w:rPr>
                <w:rFonts w:ascii="宋体" w:eastAsia="宋体" w:hAnsi="Times New Roman"/>
                <w:color w:val="000000"/>
              </w:rPr>
              <w:t>norman.zhong@fangdalaw.com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9444ED3" w:rsidR="0049405C" w:rsidRPr="00187BAA" w:rsidRDefault="008B462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90E843" wp14:editId="1E5A56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8596D52" w:rsidR="009465FB" w:rsidRPr="00187BAA" w:rsidRDefault="008B4628" w:rsidP="007177F3">
            <w:pPr>
              <w:rPr>
                <w:rFonts w:ascii="宋体" w:eastAsia="宋体" w:hAnsi="宋体"/>
                <w:color w:val="000000"/>
                <w:szCs w:val="21"/>
              </w:rPr>
            </w:pPr>
            <w:bookmarkStart w:id="6" w:name="zhiyelingyu"/>
            <w:r w:rsidRPr="008B4628">
              <w:rPr>
                <w:rFonts w:ascii="宋体" w:eastAsia="宋体" w:hAnsi="Times New Roman" w:hint="eastAsia"/>
                <w:color w:val="000000"/>
                <w:szCs w:val="21"/>
              </w:rPr>
              <w:t>钟奇律师的主要执业领域包括公司并购和战略性退出、私人股本投资退出、合资事务、资本市场、直接投资、海外收购、私募股权投资基金设立和公司融资。</w:t>
            </w:r>
            <w:r w:rsidRPr="008B4628">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6F8CA2" w14:textId="77777777" w:rsidR="008B462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F7C3D0" w14:textId="77777777" w:rsidR="008B4628" w:rsidRDefault="008B4628" w:rsidP="008B4628">
      <w:pPr>
        <w:pStyle w:val="af5"/>
        <w:spacing w:after="0" w:line="480" w:lineRule="auto"/>
        <w:rPr>
          <w:rFonts w:ascii="宋体" w:eastAsia="宋体" w:hAnsi="宋体"/>
          <w:b/>
          <w:sz w:val="24"/>
        </w:rPr>
      </w:pPr>
      <w:r w:rsidRPr="008B4628">
        <w:rPr>
          <w:rFonts w:ascii="宋体" w:eastAsia="宋体" w:hAnsi="宋体" w:hint="eastAsia"/>
          <w:b/>
          <w:sz w:val="24"/>
        </w:rPr>
        <w:t>近期代理的主要案件</w:t>
      </w:r>
    </w:p>
    <w:p w14:paraId="1DCCFE85" w14:textId="77777777" w:rsidR="008B4628" w:rsidRDefault="008B4628" w:rsidP="008B4628">
      <w:pPr>
        <w:pStyle w:val="af5"/>
        <w:spacing w:before="120"/>
        <w:rPr>
          <w:rFonts w:ascii="宋体" w:eastAsia="宋体" w:hAnsi="Times New Roman"/>
          <w:color w:val="000000"/>
        </w:rPr>
      </w:pPr>
      <w:r w:rsidRPr="008B4628">
        <w:rPr>
          <w:rFonts w:ascii="宋体" w:eastAsia="宋体" w:hAnsi="Times New Roman" w:hint="eastAsia"/>
          <w:color w:val="000000"/>
        </w:rPr>
        <w:t>“新经济”和成长型私营企业的并购、出售和融资</w:t>
      </w:r>
    </w:p>
    <w:p w14:paraId="5CD837D2" w14:textId="77777777" w:rsidR="008B4628" w:rsidRDefault="008B4628" w:rsidP="008B4628">
      <w:pPr>
        <w:pStyle w:val="af5"/>
        <w:numPr>
          <w:ilvl w:val="0"/>
          <w:numId w:val="1"/>
        </w:numPr>
        <w:spacing w:before="120"/>
        <w:ind w:left="690" w:hanging="240"/>
        <w:rPr>
          <w:rFonts w:ascii="宋体" w:eastAsia="宋体" w:hAnsi="Times New Roman"/>
          <w:color w:val="000000"/>
        </w:rPr>
      </w:pPr>
      <w:r w:rsidRPr="008B4628">
        <w:rPr>
          <w:rFonts w:ascii="宋体" w:eastAsia="宋体" w:hAnsi="Times New Roman" w:hint="eastAsia"/>
          <w:color w:val="000000"/>
        </w:rPr>
        <w:t>闻泰科技：向立讯通讯出售其产品集成业务和各种战略交易；</w:t>
      </w:r>
    </w:p>
    <w:p w14:paraId="56A27672" w14:textId="77777777" w:rsidR="008B4628" w:rsidRDefault="008B4628" w:rsidP="008B4628">
      <w:pPr>
        <w:pStyle w:val="af5"/>
        <w:numPr>
          <w:ilvl w:val="0"/>
          <w:numId w:val="2"/>
        </w:numPr>
        <w:spacing w:before="120"/>
        <w:ind w:left="690" w:hanging="240"/>
        <w:rPr>
          <w:rFonts w:ascii="宋体" w:eastAsia="宋体" w:hAnsi="Times New Roman"/>
          <w:color w:val="000000"/>
        </w:rPr>
      </w:pPr>
      <w:r w:rsidRPr="008B4628">
        <w:rPr>
          <w:rFonts w:ascii="宋体" w:eastAsia="宋体" w:hAnsi="Times New Roman" w:hint="eastAsia"/>
          <w:color w:val="000000"/>
        </w:rPr>
        <w:t>阿里巴巴：向雅戈尔集团和银泰管理团队成员组成的买方财团出售银泰；</w:t>
      </w:r>
    </w:p>
    <w:p w14:paraId="0089C796" w14:textId="77777777" w:rsidR="008B4628" w:rsidRDefault="008B4628" w:rsidP="008B4628">
      <w:pPr>
        <w:pStyle w:val="af5"/>
        <w:numPr>
          <w:ilvl w:val="0"/>
          <w:numId w:val="3"/>
        </w:numPr>
        <w:spacing w:before="120"/>
        <w:ind w:left="690" w:hanging="240"/>
        <w:rPr>
          <w:rFonts w:ascii="宋体" w:eastAsia="宋体" w:hAnsi="Times New Roman"/>
          <w:color w:val="000000"/>
        </w:rPr>
      </w:pPr>
      <w:r w:rsidRPr="008B4628">
        <w:rPr>
          <w:rFonts w:ascii="宋体" w:eastAsia="宋体" w:hAnsi="Times New Roman" w:hint="eastAsia"/>
          <w:color w:val="000000"/>
        </w:rPr>
        <w:t>阿里巴巴：向德弘资本出售高鑫零售；</w:t>
      </w:r>
    </w:p>
    <w:p w14:paraId="5D1C3FAA" w14:textId="77777777" w:rsidR="008B4628" w:rsidRDefault="008B4628" w:rsidP="008B4628">
      <w:pPr>
        <w:pStyle w:val="af5"/>
        <w:numPr>
          <w:ilvl w:val="0"/>
          <w:numId w:val="4"/>
        </w:numPr>
        <w:spacing w:before="120"/>
        <w:ind w:left="690" w:hanging="240"/>
        <w:rPr>
          <w:rFonts w:ascii="宋体" w:eastAsia="宋体" w:hAnsi="Times New Roman"/>
          <w:color w:val="000000"/>
        </w:rPr>
      </w:pPr>
      <w:r w:rsidRPr="008B4628">
        <w:rPr>
          <w:rFonts w:ascii="宋体" w:eastAsia="宋体" w:hAnsi="Times New Roman" w:hint="eastAsia"/>
          <w:color w:val="000000"/>
        </w:rPr>
        <w:t>远景科技：与沙特公共投资基金（</w:t>
      </w:r>
      <w:r w:rsidRPr="008B4628">
        <w:rPr>
          <w:rFonts w:ascii="宋体" w:eastAsia="宋体" w:hAnsi="Times New Roman"/>
          <w:color w:val="000000"/>
        </w:rPr>
        <w:t>PIF）及Vision Industries 在沙特成立合资企业；</w:t>
      </w:r>
    </w:p>
    <w:p w14:paraId="2DEF9B47" w14:textId="77777777" w:rsidR="008B4628" w:rsidRDefault="008B4628" w:rsidP="008B4628">
      <w:pPr>
        <w:pStyle w:val="af5"/>
        <w:numPr>
          <w:ilvl w:val="0"/>
          <w:numId w:val="5"/>
        </w:numPr>
        <w:spacing w:before="120"/>
        <w:ind w:left="690" w:hanging="240"/>
        <w:rPr>
          <w:rFonts w:ascii="宋体" w:eastAsia="宋体" w:hAnsi="Times New Roman"/>
          <w:color w:val="000000"/>
        </w:rPr>
      </w:pPr>
      <w:r w:rsidRPr="008B4628">
        <w:rPr>
          <w:rFonts w:ascii="宋体" w:eastAsia="宋体" w:hAnsi="Times New Roman" w:hint="eastAsia"/>
          <w:color w:val="000000"/>
        </w:rPr>
        <w:t>远景科技：与博枫和</w:t>
      </w:r>
      <w:r w:rsidRPr="008B4628">
        <w:rPr>
          <w:rFonts w:ascii="宋体" w:eastAsia="宋体" w:hAnsi="Times New Roman"/>
          <w:color w:val="000000"/>
        </w:rPr>
        <w:t>GIC成立合资企业；</w:t>
      </w:r>
    </w:p>
    <w:p w14:paraId="5E345374" w14:textId="77777777" w:rsidR="008B4628" w:rsidRDefault="008B4628" w:rsidP="008B4628">
      <w:pPr>
        <w:pStyle w:val="af5"/>
        <w:numPr>
          <w:ilvl w:val="0"/>
          <w:numId w:val="6"/>
        </w:numPr>
        <w:spacing w:before="120"/>
        <w:ind w:left="690" w:hanging="240"/>
        <w:rPr>
          <w:rFonts w:ascii="宋体" w:eastAsia="宋体" w:hAnsi="Times New Roman"/>
          <w:color w:val="000000"/>
        </w:rPr>
      </w:pPr>
      <w:r w:rsidRPr="008B4628">
        <w:rPr>
          <w:rFonts w:ascii="宋体" w:eastAsia="宋体" w:hAnsi="Times New Roman" w:hint="eastAsia"/>
          <w:color w:val="000000"/>
        </w:rPr>
        <w:t>小鹏汽车（</w:t>
      </w:r>
      <w:r w:rsidRPr="008B4628">
        <w:rPr>
          <w:rFonts w:ascii="宋体" w:eastAsia="宋体" w:hAnsi="Times New Roman"/>
          <w:color w:val="000000"/>
        </w:rPr>
        <w:t>NY: XPEV, HK: 9868）：与大众汽车就电子电气构架达成技术战略合作；与大众汽车就纯电动车开发达成战略合作，向大众汽车发行价值7亿美元的股票；与滴滴达成战略合作，包括通过发行新股吸收滴滴成为战略股东，并收购滴滴旗下智能电动汽车项目相关资产和研发能力；</w:t>
      </w:r>
    </w:p>
    <w:p w14:paraId="2DEF3724" w14:textId="77777777" w:rsidR="008B4628" w:rsidRDefault="008B4628" w:rsidP="008B4628">
      <w:pPr>
        <w:pStyle w:val="af5"/>
        <w:numPr>
          <w:ilvl w:val="0"/>
          <w:numId w:val="7"/>
        </w:numPr>
        <w:spacing w:before="120"/>
        <w:ind w:left="690" w:hanging="240"/>
        <w:rPr>
          <w:rFonts w:ascii="宋体" w:eastAsia="宋体" w:hAnsi="Times New Roman"/>
          <w:color w:val="000000"/>
        </w:rPr>
      </w:pPr>
      <w:r w:rsidRPr="008B4628">
        <w:rPr>
          <w:rFonts w:ascii="宋体" w:eastAsia="宋体" w:hAnsi="Times New Roman" w:hint="eastAsia"/>
          <w:color w:val="000000"/>
        </w:rPr>
        <w:t>远景科技：所有主要股权融资和股权转让，包括春华资本、红杉、新加坡政府投资公司对公司超过</w:t>
      </w:r>
      <w:r w:rsidRPr="008B4628">
        <w:rPr>
          <w:rFonts w:ascii="宋体" w:eastAsia="宋体" w:hAnsi="Times New Roman"/>
          <w:color w:val="000000"/>
        </w:rPr>
        <w:t>10亿美元的数次投资；</w:t>
      </w:r>
    </w:p>
    <w:p w14:paraId="1B1DCAAD" w14:textId="77777777" w:rsidR="008B4628" w:rsidRDefault="008B4628" w:rsidP="008B4628">
      <w:pPr>
        <w:pStyle w:val="af5"/>
        <w:numPr>
          <w:ilvl w:val="0"/>
          <w:numId w:val="8"/>
        </w:numPr>
        <w:spacing w:before="120"/>
        <w:ind w:left="690" w:hanging="240"/>
        <w:rPr>
          <w:rFonts w:ascii="宋体" w:eastAsia="宋体" w:hAnsi="Times New Roman"/>
          <w:color w:val="000000"/>
        </w:rPr>
      </w:pPr>
      <w:r w:rsidRPr="008B4628">
        <w:rPr>
          <w:rFonts w:ascii="宋体" w:eastAsia="宋体" w:hAnsi="Times New Roman" w:hint="eastAsia"/>
          <w:color w:val="000000"/>
        </w:rPr>
        <w:t>阿里巴巴：集团层面，阿里云和</w:t>
      </w:r>
      <w:r w:rsidRPr="008B4628">
        <w:rPr>
          <w:rFonts w:ascii="宋体" w:eastAsia="宋体" w:hAnsi="Times New Roman"/>
          <w:color w:val="000000"/>
        </w:rPr>
        <w:t>AIDC板块多项控股权收购交易、多项战略业务出售和少数股权投资，包括对十荟团、作业帮的投资，以及在新零售领域的多项投资；</w:t>
      </w:r>
    </w:p>
    <w:p w14:paraId="2D06CD89" w14:textId="77777777" w:rsidR="008B4628" w:rsidRDefault="008B4628" w:rsidP="008B4628">
      <w:pPr>
        <w:pStyle w:val="af5"/>
        <w:numPr>
          <w:ilvl w:val="0"/>
          <w:numId w:val="9"/>
        </w:numPr>
        <w:spacing w:before="120"/>
        <w:ind w:left="690" w:hanging="240"/>
        <w:rPr>
          <w:rFonts w:ascii="宋体" w:eastAsia="宋体" w:hAnsi="Times New Roman"/>
          <w:color w:val="000000"/>
        </w:rPr>
      </w:pPr>
      <w:r w:rsidRPr="008B4628">
        <w:rPr>
          <w:rFonts w:ascii="宋体" w:eastAsia="宋体" w:hAnsi="Times New Roman"/>
          <w:color w:val="000000"/>
        </w:rPr>
        <w:t>AESC（即远景AESC）：多项股权融资，包括远景科技领投的10亿美元融资；</w:t>
      </w:r>
    </w:p>
    <w:p w14:paraId="73A9A7F7" w14:textId="77777777" w:rsidR="008B4628" w:rsidRDefault="008B4628" w:rsidP="008B4628">
      <w:pPr>
        <w:pStyle w:val="af5"/>
        <w:numPr>
          <w:ilvl w:val="0"/>
          <w:numId w:val="10"/>
        </w:numPr>
        <w:spacing w:before="120"/>
        <w:ind w:left="690" w:hanging="240"/>
        <w:rPr>
          <w:rFonts w:ascii="宋体" w:eastAsia="宋体" w:hAnsi="Times New Roman"/>
          <w:color w:val="000000"/>
        </w:rPr>
      </w:pPr>
      <w:r w:rsidRPr="008B4628">
        <w:rPr>
          <w:rFonts w:ascii="宋体" w:eastAsia="宋体" w:hAnsi="Times New Roman" w:hint="eastAsia"/>
          <w:color w:val="000000"/>
        </w:rPr>
        <w:t>蚂蚁金服：多项投资（包括对万达商业地产管理项目的投资和退出）；</w:t>
      </w:r>
    </w:p>
    <w:p w14:paraId="760EF27F" w14:textId="77777777" w:rsidR="008B4628" w:rsidRDefault="008B4628" w:rsidP="008B4628">
      <w:pPr>
        <w:pStyle w:val="af5"/>
        <w:numPr>
          <w:ilvl w:val="0"/>
          <w:numId w:val="11"/>
        </w:numPr>
        <w:spacing w:before="120"/>
        <w:ind w:left="690" w:hanging="240"/>
        <w:rPr>
          <w:rFonts w:ascii="宋体" w:eastAsia="宋体" w:hAnsi="Times New Roman"/>
          <w:color w:val="000000"/>
        </w:rPr>
      </w:pPr>
      <w:r w:rsidRPr="008B4628">
        <w:rPr>
          <w:rFonts w:ascii="宋体" w:eastAsia="宋体" w:hAnsi="Times New Roman"/>
          <w:color w:val="000000"/>
        </w:rPr>
        <w:t>Univers（原远景数字）：所有主要股权融资；</w:t>
      </w:r>
    </w:p>
    <w:p w14:paraId="2F248A67" w14:textId="77777777" w:rsidR="008B4628" w:rsidRDefault="008B4628" w:rsidP="008B4628">
      <w:pPr>
        <w:pStyle w:val="af5"/>
        <w:numPr>
          <w:ilvl w:val="0"/>
          <w:numId w:val="12"/>
        </w:numPr>
        <w:spacing w:before="120"/>
        <w:ind w:left="690" w:hanging="240"/>
        <w:rPr>
          <w:rFonts w:ascii="宋体" w:eastAsia="宋体" w:hAnsi="Times New Roman"/>
          <w:color w:val="000000"/>
        </w:rPr>
      </w:pPr>
      <w:r w:rsidRPr="008B4628">
        <w:rPr>
          <w:rFonts w:ascii="宋体" w:eastAsia="宋体" w:hAnsi="Times New Roman" w:hint="eastAsia"/>
          <w:color w:val="000000"/>
        </w:rPr>
        <w:t>沐瞳科技：代表其参与竞卖交易，成功以数十亿美元被字节跳动收购，该项交易是游戏行业历史上规模最大的收购之一；</w:t>
      </w:r>
    </w:p>
    <w:p w14:paraId="2E921973" w14:textId="77777777" w:rsidR="008B4628" w:rsidRDefault="008B4628" w:rsidP="008B4628">
      <w:pPr>
        <w:pStyle w:val="af5"/>
        <w:numPr>
          <w:ilvl w:val="0"/>
          <w:numId w:val="13"/>
        </w:numPr>
        <w:spacing w:before="120"/>
        <w:ind w:left="690" w:hanging="240"/>
        <w:rPr>
          <w:rFonts w:ascii="宋体" w:eastAsia="宋体" w:hAnsi="Times New Roman"/>
          <w:color w:val="000000"/>
        </w:rPr>
      </w:pPr>
      <w:r w:rsidRPr="008B4628">
        <w:rPr>
          <w:rFonts w:ascii="宋体" w:eastAsia="宋体" w:hAnsi="Times New Roman" w:hint="eastAsia"/>
          <w:color w:val="000000"/>
        </w:rPr>
        <w:t>万业企业（</w:t>
      </w:r>
      <w:r w:rsidRPr="008B4628">
        <w:rPr>
          <w:rFonts w:ascii="宋体" w:eastAsia="宋体" w:hAnsi="Times New Roman"/>
          <w:color w:val="000000"/>
        </w:rPr>
        <w:t>SH：600641）：以3.98亿美元向Platinum Capital收购Compart System Pte. Ltd.（一家气体输送系统精密零部件龙头供应商）；</w:t>
      </w:r>
    </w:p>
    <w:p w14:paraId="4499C9B3" w14:textId="77777777" w:rsidR="008B4628" w:rsidRDefault="008B4628" w:rsidP="008B4628">
      <w:pPr>
        <w:pStyle w:val="af5"/>
        <w:numPr>
          <w:ilvl w:val="0"/>
          <w:numId w:val="14"/>
        </w:numPr>
        <w:spacing w:before="120"/>
        <w:ind w:left="690" w:hanging="240"/>
        <w:rPr>
          <w:rFonts w:ascii="宋体" w:eastAsia="宋体" w:hAnsi="Times New Roman"/>
          <w:color w:val="000000"/>
        </w:rPr>
      </w:pPr>
      <w:r w:rsidRPr="008B4628">
        <w:rPr>
          <w:rFonts w:ascii="宋体" w:eastAsia="宋体" w:hAnsi="Times New Roman" w:hint="eastAsia"/>
          <w:color w:val="000000"/>
        </w:rPr>
        <w:t>远景集团设立的一支基金：对</w:t>
      </w:r>
      <w:r w:rsidRPr="008B4628">
        <w:rPr>
          <w:rFonts w:ascii="宋体" w:eastAsia="宋体" w:hAnsi="Times New Roman"/>
          <w:color w:val="000000"/>
        </w:rPr>
        <w:t>Nissan和NEC的合资公司 AESC（即Nissan的全球汽车电池业务）和NEC子公司NECED的杠杆收购，以及远景与Nissan超过10亿美元的合资项目；</w:t>
      </w:r>
    </w:p>
    <w:p w14:paraId="7FF355FF" w14:textId="77777777" w:rsidR="008B4628" w:rsidRDefault="008B4628" w:rsidP="008B4628">
      <w:pPr>
        <w:pStyle w:val="af5"/>
        <w:numPr>
          <w:ilvl w:val="0"/>
          <w:numId w:val="15"/>
        </w:numPr>
        <w:spacing w:before="120"/>
        <w:ind w:left="690" w:hanging="240"/>
        <w:rPr>
          <w:rFonts w:ascii="宋体" w:eastAsia="宋体" w:hAnsi="Times New Roman"/>
          <w:color w:val="000000"/>
        </w:rPr>
      </w:pPr>
      <w:r w:rsidRPr="008B4628">
        <w:rPr>
          <w:rFonts w:ascii="宋体" w:eastAsia="宋体" w:hAnsi="Times New Roman" w:hint="eastAsia"/>
          <w:color w:val="000000"/>
        </w:rPr>
        <w:t>阿里巴巴：多个跨境</w:t>
      </w:r>
      <w:r w:rsidRPr="008B4628">
        <w:rPr>
          <w:rFonts w:ascii="宋体" w:eastAsia="宋体" w:hAnsi="Times New Roman"/>
          <w:color w:val="000000"/>
        </w:rPr>
        <w:t>JV项目，包括其和腾讯以及元禾资本对China Media Capital Holding的共同投资（其中Alibaba投资超过30亿人民币），及对CMC Holding的后续增资；阿里巴巴旗下飞猪平台与万豪成立合资公司；</w:t>
      </w:r>
    </w:p>
    <w:p w14:paraId="3FED3782" w14:textId="77777777" w:rsidR="008B4628" w:rsidRDefault="008B4628" w:rsidP="008B4628">
      <w:pPr>
        <w:pStyle w:val="af5"/>
        <w:numPr>
          <w:ilvl w:val="0"/>
          <w:numId w:val="16"/>
        </w:numPr>
        <w:spacing w:before="120"/>
        <w:ind w:left="690" w:hanging="240"/>
        <w:rPr>
          <w:rFonts w:ascii="宋体" w:eastAsia="宋体" w:hAnsi="Times New Roman"/>
          <w:color w:val="000000"/>
        </w:rPr>
      </w:pPr>
      <w:r w:rsidRPr="008B4628">
        <w:rPr>
          <w:rFonts w:ascii="宋体" w:eastAsia="宋体" w:hAnsi="Times New Roman" w:hint="eastAsia"/>
          <w:color w:val="000000"/>
        </w:rPr>
        <w:t>阿里巴巴：</w:t>
      </w:r>
      <w:r w:rsidRPr="008B4628">
        <w:rPr>
          <w:rFonts w:ascii="宋体" w:eastAsia="宋体" w:hAnsi="Times New Roman"/>
          <w:color w:val="000000"/>
        </w:rPr>
        <w:t>(i) 阿里巴巴以约283亿元人民币（约合46.3亿美元）战略投资苏宁云商并占股19.99%；(ii) 苏宁云商以140亿元人民币（约合22.8亿美元）认购阿里巴巴集团新发行股份及相关战略合作；(iii) 成立猫宁合资公司；</w:t>
      </w:r>
    </w:p>
    <w:p w14:paraId="37F5D246" w14:textId="77777777" w:rsidR="008B4628" w:rsidRDefault="008B4628" w:rsidP="008B4628">
      <w:pPr>
        <w:pStyle w:val="af5"/>
        <w:numPr>
          <w:ilvl w:val="0"/>
          <w:numId w:val="17"/>
        </w:numPr>
        <w:spacing w:before="120"/>
        <w:ind w:left="690" w:hanging="240"/>
        <w:rPr>
          <w:rFonts w:ascii="宋体" w:eastAsia="宋体" w:hAnsi="Times New Roman"/>
          <w:color w:val="000000"/>
        </w:rPr>
      </w:pPr>
      <w:r w:rsidRPr="008B4628">
        <w:rPr>
          <w:rFonts w:ascii="宋体" w:eastAsia="宋体" w:hAnsi="Times New Roman"/>
          <w:color w:val="000000"/>
        </w:rPr>
        <w:t>PDSTI：数项高科技领域收购项目。   其它服务过的</w:t>
      </w:r>
      <w:r w:rsidRPr="008B4628">
        <w:rPr>
          <w:rFonts w:ascii="宋体" w:eastAsia="宋体" w:hAnsi="Times New Roman"/>
          <w:color w:val="000000"/>
        </w:rPr>
        <w:t>“</w:t>
      </w:r>
      <w:r w:rsidRPr="008B4628">
        <w:rPr>
          <w:rFonts w:ascii="宋体" w:eastAsia="宋体" w:hAnsi="Times New Roman"/>
          <w:color w:val="000000"/>
        </w:rPr>
        <w:t>新经济</w:t>
      </w:r>
      <w:r w:rsidRPr="008B4628">
        <w:rPr>
          <w:rFonts w:ascii="宋体" w:eastAsia="宋体" w:hAnsi="Times New Roman"/>
          <w:color w:val="000000"/>
        </w:rPr>
        <w:t>”</w:t>
      </w:r>
      <w:r w:rsidRPr="008B4628">
        <w:rPr>
          <w:rFonts w:ascii="宋体" w:eastAsia="宋体" w:hAnsi="Times New Roman"/>
          <w:color w:val="000000"/>
        </w:rPr>
        <w:t>客户包括Creative Artists Agency、广东太平洋互联网信息、智车优行（即奇点汽车）、游族网络。</w:t>
      </w:r>
    </w:p>
    <w:p w14:paraId="7A085063" w14:textId="77777777" w:rsidR="008B4628" w:rsidRDefault="008B4628" w:rsidP="008B4628">
      <w:pPr>
        <w:pStyle w:val="af5"/>
        <w:spacing w:before="120"/>
        <w:rPr>
          <w:rFonts w:ascii="宋体" w:eastAsia="宋体" w:hAnsi="Times New Roman"/>
          <w:color w:val="000000"/>
        </w:rPr>
      </w:pPr>
      <w:r w:rsidRPr="008B4628">
        <w:rPr>
          <w:rFonts w:ascii="宋体" w:eastAsia="宋体" w:hAnsi="Times New Roman" w:hint="eastAsia"/>
          <w:color w:val="000000"/>
        </w:rPr>
        <w:t>国际战略投资者的并购、合资、投资和出售</w:t>
      </w:r>
    </w:p>
    <w:p w14:paraId="24B88750" w14:textId="77777777" w:rsidR="008B4628" w:rsidRDefault="008B4628" w:rsidP="008B4628">
      <w:pPr>
        <w:pStyle w:val="af5"/>
        <w:numPr>
          <w:ilvl w:val="0"/>
          <w:numId w:val="18"/>
        </w:numPr>
        <w:spacing w:before="120"/>
        <w:ind w:left="690" w:hanging="240"/>
        <w:rPr>
          <w:rFonts w:ascii="宋体" w:eastAsia="宋体" w:hAnsi="Times New Roman"/>
          <w:color w:val="000000"/>
        </w:rPr>
      </w:pPr>
      <w:r w:rsidRPr="008B4628">
        <w:rPr>
          <w:rFonts w:ascii="宋体" w:eastAsia="宋体" w:hAnsi="Times New Roman" w:hint="eastAsia"/>
          <w:color w:val="000000"/>
        </w:rPr>
        <w:t>太古医疗：一家太古集团（</w:t>
      </w:r>
      <w:r w:rsidRPr="008B4628">
        <w:rPr>
          <w:rFonts w:ascii="宋体" w:eastAsia="宋体" w:hAnsi="Times New Roman"/>
          <w:color w:val="000000"/>
        </w:rPr>
        <w:t>HK：00019）的子公司在中国的大部分投资项目，包括从斯道资本处收购上海德达医院的控股权；</w:t>
      </w:r>
    </w:p>
    <w:p w14:paraId="1E678A3A" w14:textId="77777777" w:rsidR="008B4628" w:rsidRDefault="008B4628" w:rsidP="008B4628">
      <w:pPr>
        <w:pStyle w:val="af5"/>
        <w:numPr>
          <w:ilvl w:val="0"/>
          <w:numId w:val="19"/>
        </w:numPr>
        <w:spacing w:before="120"/>
        <w:ind w:left="690" w:hanging="240"/>
        <w:rPr>
          <w:rFonts w:ascii="宋体" w:eastAsia="宋体" w:hAnsi="Times New Roman"/>
          <w:color w:val="000000"/>
        </w:rPr>
      </w:pPr>
      <w:r w:rsidRPr="008B4628">
        <w:rPr>
          <w:rFonts w:ascii="宋体" w:eastAsia="宋体" w:hAnsi="Times New Roman" w:hint="eastAsia"/>
          <w:color w:val="000000"/>
        </w:rPr>
        <w:t>雪佛龙：在中国的投资收购交易和出售交易；</w:t>
      </w:r>
    </w:p>
    <w:p w14:paraId="675EAE59" w14:textId="77777777" w:rsidR="008B4628" w:rsidRDefault="008B4628" w:rsidP="008B4628">
      <w:pPr>
        <w:pStyle w:val="af5"/>
        <w:numPr>
          <w:ilvl w:val="0"/>
          <w:numId w:val="20"/>
        </w:numPr>
        <w:spacing w:before="120"/>
        <w:ind w:left="690" w:hanging="240"/>
        <w:rPr>
          <w:rFonts w:ascii="宋体" w:eastAsia="宋体" w:hAnsi="Times New Roman"/>
          <w:color w:val="000000"/>
        </w:rPr>
      </w:pPr>
      <w:r w:rsidRPr="008B4628">
        <w:rPr>
          <w:rFonts w:ascii="宋体" w:eastAsia="宋体" w:hAnsi="Times New Roman"/>
          <w:color w:val="000000"/>
        </w:rPr>
        <w:t>Syensqo: 在中国的并购交易；</w:t>
      </w:r>
    </w:p>
    <w:p w14:paraId="58B2AD7B" w14:textId="77777777" w:rsidR="008B4628" w:rsidRDefault="008B4628" w:rsidP="008B4628">
      <w:pPr>
        <w:pStyle w:val="af5"/>
        <w:numPr>
          <w:ilvl w:val="0"/>
          <w:numId w:val="21"/>
        </w:numPr>
        <w:spacing w:before="120"/>
        <w:ind w:left="690" w:hanging="240"/>
        <w:rPr>
          <w:rFonts w:ascii="宋体" w:eastAsia="宋体" w:hAnsi="Times New Roman"/>
          <w:color w:val="000000"/>
        </w:rPr>
      </w:pPr>
      <w:r w:rsidRPr="008B4628">
        <w:rPr>
          <w:rFonts w:ascii="宋体" w:eastAsia="宋体" w:hAnsi="Times New Roman" w:hint="eastAsia"/>
          <w:color w:val="000000"/>
        </w:rPr>
        <w:t>康耐视</w:t>
      </w:r>
      <w:r w:rsidRPr="008B4628">
        <w:rPr>
          <w:rFonts w:ascii="宋体" w:eastAsia="宋体" w:hAnsi="Times New Roman"/>
          <w:color w:val="000000"/>
        </w:rPr>
        <w:t>Cognex（NASDAQ：CGNX）：向中信资本收购Moritex Corporation（一家总部位于日本的世界领先的光学原件提供商）；</w:t>
      </w:r>
    </w:p>
    <w:p w14:paraId="663FEC03" w14:textId="77777777" w:rsidR="008B4628" w:rsidRDefault="008B4628" w:rsidP="008B4628">
      <w:pPr>
        <w:pStyle w:val="af5"/>
        <w:numPr>
          <w:ilvl w:val="0"/>
          <w:numId w:val="22"/>
        </w:numPr>
        <w:spacing w:before="120"/>
        <w:ind w:left="690" w:hanging="240"/>
        <w:rPr>
          <w:rFonts w:ascii="宋体" w:eastAsia="宋体" w:hAnsi="Times New Roman"/>
          <w:color w:val="000000"/>
        </w:rPr>
      </w:pPr>
      <w:r w:rsidRPr="008B4628">
        <w:rPr>
          <w:rFonts w:ascii="宋体" w:eastAsia="宋体" w:hAnsi="Times New Roman" w:hint="eastAsia"/>
          <w:color w:val="000000"/>
        </w:rPr>
        <w:t>汉莎航空：在中国郑州、上海、深圳等机场的多项合资项目；</w:t>
      </w:r>
    </w:p>
    <w:p w14:paraId="75E59C74" w14:textId="77777777" w:rsidR="008B4628" w:rsidRDefault="008B4628" w:rsidP="008B4628">
      <w:pPr>
        <w:pStyle w:val="af5"/>
        <w:numPr>
          <w:ilvl w:val="0"/>
          <w:numId w:val="23"/>
        </w:numPr>
        <w:spacing w:before="120"/>
        <w:ind w:left="690" w:hanging="240"/>
        <w:rPr>
          <w:rFonts w:ascii="宋体" w:eastAsia="宋体" w:hAnsi="Times New Roman"/>
          <w:color w:val="000000"/>
        </w:rPr>
      </w:pPr>
      <w:r w:rsidRPr="008B4628">
        <w:rPr>
          <w:rFonts w:ascii="宋体" w:eastAsia="宋体" w:hAnsi="Times New Roman" w:hint="eastAsia"/>
          <w:color w:val="000000"/>
        </w:rPr>
        <w:t>克诺尔集团：在中国的多项投资和合资项目；</w:t>
      </w:r>
    </w:p>
    <w:p w14:paraId="11BDC68E" w14:textId="77777777" w:rsidR="008B4628" w:rsidRDefault="008B4628" w:rsidP="008B4628">
      <w:pPr>
        <w:pStyle w:val="af5"/>
        <w:numPr>
          <w:ilvl w:val="0"/>
          <w:numId w:val="24"/>
        </w:numPr>
        <w:spacing w:before="120"/>
        <w:ind w:left="690" w:hanging="240"/>
        <w:rPr>
          <w:rFonts w:ascii="宋体" w:eastAsia="宋体" w:hAnsi="Times New Roman"/>
          <w:color w:val="000000"/>
        </w:rPr>
      </w:pPr>
      <w:r w:rsidRPr="008B4628">
        <w:rPr>
          <w:rFonts w:ascii="宋体" w:eastAsia="宋体" w:hAnsi="Times New Roman" w:hint="eastAsia"/>
          <w:color w:val="000000"/>
        </w:rPr>
        <w:t>梅尔罗斯工业股份公司（</w:t>
      </w:r>
      <w:r w:rsidRPr="008B4628">
        <w:rPr>
          <w:rFonts w:ascii="宋体" w:eastAsia="宋体" w:hAnsi="Times New Roman"/>
          <w:color w:val="000000"/>
        </w:rPr>
        <w:t>Melrose Industries PLC）：在中国的业务出售；</w:t>
      </w:r>
    </w:p>
    <w:p w14:paraId="31D48621" w14:textId="77777777" w:rsidR="008B4628" w:rsidRDefault="008B4628" w:rsidP="008B4628">
      <w:pPr>
        <w:pStyle w:val="af5"/>
        <w:numPr>
          <w:ilvl w:val="0"/>
          <w:numId w:val="25"/>
        </w:numPr>
        <w:spacing w:before="120"/>
        <w:ind w:left="690" w:hanging="240"/>
        <w:rPr>
          <w:rFonts w:ascii="宋体" w:eastAsia="宋体" w:hAnsi="Times New Roman"/>
          <w:color w:val="000000"/>
        </w:rPr>
      </w:pPr>
      <w:r w:rsidRPr="008B4628">
        <w:rPr>
          <w:rFonts w:ascii="宋体" w:eastAsia="宋体" w:hAnsi="Times New Roman" w:hint="eastAsia"/>
          <w:color w:val="000000"/>
        </w:rPr>
        <w:t>奥普集团（</w:t>
      </w:r>
      <w:r w:rsidRPr="008B4628">
        <w:rPr>
          <w:rFonts w:ascii="宋体" w:eastAsia="宋体" w:hAnsi="Times New Roman"/>
          <w:color w:val="000000"/>
        </w:rPr>
        <w:t>HK：00477）：从香港联交所退市、之后的股改重组、数家私募股权投资机构的投资，以及作为公司律师在A 股主板的首次公开发行（SH：603551）；</w:t>
      </w:r>
    </w:p>
    <w:p w14:paraId="1A51A74B" w14:textId="77777777" w:rsidR="008B4628" w:rsidRDefault="008B4628" w:rsidP="008B4628">
      <w:pPr>
        <w:pStyle w:val="af5"/>
        <w:numPr>
          <w:ilvl w:val="0"/>
          <w:numId w:val="26"/>
        </w:numPr>
        <w:spacing w:before="120"/>
        <w:ind w:left="690" w:hanging="240"/>
        <w:rPr>
          <w:rFonts w:ascii="宋体" w:eastAsia="宋体" w:hAnsi="Times New Roman"/>
          <w:color w:val="000000"/>
        </w:rPr>
      </w:pPr>
      <w:r w:rsidRPr="008B4628">
        <w:rPr>
          <w:rFonts w:ascii="宋体" w:eastAsia="宋体" w:hAnsi="Times New Roman" w:hint="eastAsia"/>
          <w:color w:val="000000"/>
        </w:rPr>
        <w:t>丹纳赫：收购</w:t>
      </w:r>
      <w:r w:rsidRPr="008B4628">
        <w:rPr>
          <w:rFonts w:ascii="宋体" w:eastAsia="宋体" w:hAnsi="Times New Roman"/>
          <w:color w:val="000000"/>
        </w:rPr>
        <w:t>Pall-Austar合资公司中的控股权益；出售某水处理相关产品业务；对天津博纳艾杰尔科技有限公司的收购和其它在中国境内的收购和出售；</w:t>
      </w:r>
    </w:p>
    <w:p w14:paraId="3816AEE4" w14:textId="77777777" w:rsidR="008B4628" w:rsidRDefault="008B4628" w:rsidP="008B4628">
      <w:pPr>
        <w:pStyle w:val="af5"/>
        <w:numPr>
          <w:ilvl w:val="0"/>
          <w:numId w:val="27"/>
        </w:numPr>
        <w:spacing w:before="120"/>
        <w:ind w:left="690" w:hanging="240"/>
        <w:rPr>
          <w:rFonts w:ascii="宋体" w:eastAsia="宋体" w:hAnsi="Times New Roman"/>
          <w:color w:val="000000"/>
        </w:rPr>
      </w:pPr>
      <w:r w:rsidRPr="008B4628">
        <w:rPr>
          <w:rFonts w:ascii="宋体" w:eastAsia="宋体" w:hAnsi="Times New Roman" w:hint="eastAsia"/>
          <w:color w:val="000000"/>
        </w:rPr>
        <w:t>标致雪铁龙集团（</w:t>
      </w:r>
      <w:r w:rsidRPr="008B4628">
        <w:rPr>
          <w:rFonts w:ascii="宋体" w:eastAsia="宋体" w:hAnsi="Times New Roman"/>
          <w:color w:val="000000"/>
        </w:rPr>
        <w:t>PSA）：在中国的多个汽车制造相关的合资项目，包括与一家中国领先汽车制造商的潜在合作；与FCA全球合并相关的中国方面事宜；</w:t>
      </w:r>
    </w:p>
    <w:p w14:paraId="65E70C52" w14:textId="77777777" w:rsidR="008B4628" w:rsidRDefault="008B4628" w:rsidP="008B4628">
      <w:pPr>
        <w:pStyle w:val="af5"/>
        <w:numPr>
          <w:ilvl w:val="0"/>
          <w:numId w:val="28"/>
        </w:numPr>
        <w:spacing w:before="120"/>
        <w:ind w:left="690" w:hanging="240"/>
        <w:rPr>
          <w:rFonts w:ascii="宋体" w:eastAsia="宋体" w:hAnsi="Times New Roman"/>
          <w:color w:val="000000"/>
        </w:rPr>
      </w:pPr>
      <w:r w:rsidRPr="008B4628">
        <w:rPr>
          <w:rFonts w:ascii="宋体" w:eastAsia="宋体" w:hAnsi="Times New Roman" w:hint="eastAsia"/>
          <w:color w:val="000000"/>
        </w:rPr>
        <w:t>德国杜尔集团（</w:t>
      </w:r>
      <w:r w:rsidRPr="008B4628">
        <w:rPr>
          <w:rFonts w:ascii="宋体" w:eastAsia="宋体" w:hAnsi="Times New Roman"/>
          <w:color w:val="000000"/>
        </w:rPr>
        <w:t>D</w:t>
      </w:r>
      <w:r w:rsidRPr="008B4628">
        <w:rPr>
          <w:rFonts w:ascii="宋体" w:eastAsia="宋体" w:hAnsi="Times New Roman"/>
          <w:color w:val="000000"/>
        </w:rPr>
        <w:t>ü</w:t>
      </w:r>
      <w:r w:rsidRPr="008B4628">
        <w:rPr>
          <w:rFonts w:ascii="宋体" w:eastAsia="宋体" w:hAnsi="Times New Roman"/>
          <w:color w:val="000000"/>
        </w:rPr>
        <w:t>rrAG）：将旗下从事工业清洗系统及表面处理业务的 D</w:t>
      </w:r>
      <w:r w:rsidRPr="008B4628">
        <w:rPr>
          <w:rFonts w:ascii="宋体" w:eastAsia="宋体" w:hAnsi="Times New Roman"/>
          <w:color w:val="000000"/>
        </w:rPr>
        <w:t>ü</w:t>
      </w:r>
      <w:r w:rsidRPr="008B4628">
        <w:rPr>
          <w:rFonts w:ascii="宋体" w:eastAsia="宋体" w:hAnsi="Times New Roman"/>
          <w:color w:val="000000"/>
        </w:rPr>
        <w:t>rr Ecoclean Group 集团85％的股份出售给沈阳蓝英集团（SZ：300293）（重大资产重组）；</w:t>
      </w:r>
    </w:p>
    <w:p w14:paraId="55EF11BD" w14:textId="77777777" w:rsidR="008B4628" w:rsidRDefault="008B4628" w:rsidP="008B4628">
      <w:pPr>
        <w:pStyle w:val="af5"/>
        <w:numPr>
          <w:ilvl w:val="0"/>
          <w:numId w:val="29"/>
        </w:numPr>
        <w:spacing w:before="120"/>
        <w:ind w:left="690" w:hanging="240"/>
        <w:rPr>
          <w:rFonts w:ascii="宋体" w:eastAsia="宋体" w:hAnsi="Times New Roman"/>
          <w:color w:val="000000"/>
        </w:rPr>
      </w:pPr>
      <w:r w:rsidRPr="008B4628">
        <w:rPr>
          <w:rFonts w:ascii="宋体" w:eastAsia="宋体" w:hAnsi="Times New Roman"/>
          <w:color w:val="000000"/>
        </w:rPr>
        <w:t>SK Innovation：在中国电池领域与北电和北汽的合资企业；</w:t>
      </w:r>
    </w:p>
    <w:p w14:paraId="47E3E136" w14:textId="77777777" w:rsidR="008B4628" w:rsidRDefault="008B4628" w:rsidP="008B4628">
      <w:pPr>
        <w:pStyle w:val="af5"/>
        <w:numPr>
          <w:ilvl w:val="0"/>
          <w:numId w:val="30"/>
        </w:numPr>
        <w:spacing w:before="120"/>
        <w:ind w:left="690" w:hanging="240"/>
        <w:rPr>
          <w:rFonts w:ascii="宋体" w:eastAsia="宋体" w:hAnsi="Times New Roman"/>
          <w:color w:val="000000"/>
        </w:rPr>
      </w:pPr>
      <w:r w:rsidRPr="008B4628">
        <w:rPr>
          <w:rFonts w:ascii="宋体" w:eastAsia="宋体" w:hAnsi="Times New Roman"/>
          <w:color w:val="000000"/>
        </w:rPr>
        <w:t>GE：出售白色家电业务</w:t>
      </w:r>
    </w:p>
    <w:p w14:paraId="7A4447A4" w14:textId="77777777" w:rsidR="008B4628" w:rsidRDefault="008B4628" w:rsidP="008B4628">
      <w:pPr>
        <w:pStyle w:val="af5"/>
        <w:numPr>
          <w:ilvl w:val="0"/>
          <w:numId w:val="31"/>
        </w:numPr>
        <w:spacing w:before="120"/>
        <w:ind w:left="690" w:hanging="240"/>
        <w:rPr>
          <w:rFonts w:ascii="宋体" w:eastAsia="宋体" w:hAnsi="Times New Roman"/>
          <w:color w:val="000000"/>
        </w:rPr>
      </w:pPr>
      <w:r w:rsidRPr="008B4628">
        <w:rPr>
          <w:rFonts w:ascii="宋体" w:eastAsia="宋体" w:hAnsi="Times New Roman" w:hint="eastAsia"/>
          <w:color w:val="000000"/>
        </w:rPr>
        <w:t>康泰伦特药业（黑石控股）：对浙江江元堂生物科技有限公司的收购、随后的战略调整和最终出售给艾兰得健康控股有限公司；</w:t>
      </w:r>
    </w:p>
    <w:p w14:paraId="7106CC11" w14:textId="77777777" w:rsidR="008B4628" w:rsidRDefault="008B4628" w:rsidP="008B4628">
      <w:pPr>
        <w:pStyle w:val="af5"/>
        <w:numPr>
          <w:ilvl w:val="0"/>
          <w:numId w:val="32"/>
        </w:numPr>
        <w:spacing w:before="120"/>
        <w:ind w:left="690" w:hanging="240"/>
        <w:rPr>
          <w:rFonts w:ascii="宋体" w:eastAsia="宋体" w:hAnsi="Times New Roman"/>
          <w:color w:val="000000"/>
        </w:rPr>
      </w:pPr>
      <w:r w:rsidRPr="008B4628">
        <w:rPr>
          <w:rFonts w:ascii="宋体" w:eastAsia="宋体" w:hAnsi="Times New Roman" w:hint="eastAsia"/>
          <w:color w:val="000000"/>
        </w:rPr>
        <w:t>太古饮料控股：一家太古集团（</w:t>
      </w:r>
      <w:r w:rsidRPr="008B4628">
        <w:rPr>
          <w:rFonts w:ascii="宋体" w:eastAsia="宋体" w:hAnsi="Times New Roman"/>
          <w:color w:val="000000"/>
        </w:rPr>
        <w:t>HK：00019）的全资附属子公司(i) 向可口可乐收购其在华自有部分装瓶业务的股权；(ii) 以申请投标的方式向中粮集团（COFCO）控股的中粮可口可乐饮料有限公司收购其装瓶业务的股权；(iii) 向中粮集团出售其在特定省份装瓶业务中的股权；</w:t>
      </w:r>
    </w:p>
    <w:p w14:paraId="61FB7DBE" w14:textId="77777777" w:rsidR="008B4628" w:rsidRDefault="008B4628" w:rsidP="008B4628">
      <w:pPr>
        <w:pStyle w:val="af5"/>
        <w:numPr>
          <w:ilvl w:val="0"/>
          <w:numId w:val="33"/>
        </w:numPr>
        <w:spacing w:before="120"/>
        <w:ind w:left="690" w:hanging="240"/>
        <w:rPr>
          <w:rFonts w:ascii="宋体" w:eastAsia="宋体" w:hAnsi="Times New Roman"/>
          <w:color w:val="000000"/>
        </w:rPr>
      </w:pPr>
      <w:r w:rsidRPr="008B4628">
        <w:rPr>
          <w:rFonts w:ascii="宋体" w:eastAsia="宋体" w:hAnsi="Times New Roman" w:hint="eastAsia"/>
          <w:color w:val="000000"/>
        </w:rPr>
        <w:t>锦江集团：包括其以</w:t>
      </w:r>
      <w:r w:rsidRPr="008B4628">
        <w:rPr>
          <w:rFonts w:ascii="宋体" w:eastAsia="宋体" w:hAnsi="Times New Roman"/>
          <w:color w:val="000000"/>
        </w:rPr>
        <w:t xml:space="preserve"> 12 亿欧元向喜达屋资本收购卢浮酒店集团等数个海外收购和股权投资；</w:t>
      </w:r>
    </w:p>
    <w:p w14:paraId="646C57DD" w14:textId="77777777" w:rsidR="008B4628" w:rsidRDefault="008B4628" w:rsidP="008B4628">
      <w:pPr>
        <w:pStyle w:val="af5"/>
        <w:numPr>
          <w:ilvl w:val="0"/>
          <w:numId w:val="34"/>
        </w:numPr>
        <w:spacing w:before="120"/>
        <w:ind w:left="690" w:hanging="240"/>
        <w:rPr>
          <w:rFonts w:ascii="宋体" w:eastAsia="宋体" w:hAnsi="Times New Roman"/>
          <w:color w:val="000000"/>
        </w:rPr>
      </w:pPr>
      <w:r w:rsidRPr="008B4628">
        <w:rPr>
          <w:rFonts w:ascii="宋体" w:eastAsia="宋体" w:hAnsi="Times New Roman" w:hint="eastAsia"/>
          <w:color w:val="000000"/>
        </w:rPr>
        <w:t>通用电气（能源）：</w:t>
      </w:r>
      <w:r w:rsidRPr="008B4628">
        <w:rPr>
          <w:rFonts w:ascii="宋体" w:eastAsia="宋体" w:hAnsi="Times New Roman"/>
          <w:color w:val="000000"/>
        </w:rPr>
        <w:t>(i) 对阿尔斯通的能源业务约170亿美元的收购（主要针对对中国上市公司武锅B小股东的强制要约收购）；(ii) 与中国西电结成战略合作联盟，组成合资企业以及对中国西电33.83亿元人民币的战略投资（财富 500 强公司对中国上市公司首个交割的战略投资）；</w:t>
      </w:r>
    </w:p>
    <w:p w14:paraId="3CD283F6" w14:textId="77777777" w:rsidR="008B4628" w:rsidRDefault="008B4628" w:rsidP="008B4628">
      <w:pPr>
        <w:pStyle w:val="af5"/>
        <w:numPr>
          <w:ilvl w:val="0"/>
          <w:numId w:val="35"/>
        </w:numPr>
        <w:spacing w:before="120"/>
        <w:ind w:left="690" w:hanging="240"/>
        <w:rPr>
          <w:rFonts w:ascii="宋体" w:eastAsia="宋体" w:hAnsi="Times New Roman"/>
          <w:color w:val="000000"/>
        </w:rPr>
      </w:pPr>
      <w:r w:rsidRPr="008B4628">
        <w:rPr>
          <w:rFonts w:ascii="宋体" w:eastAsia="宋体" w:hAnsi="Times New Roman" w:hint="eastAsia"/>
          <w:color w:val="000000"/>
        </w:rPr>
        <w:t>华润创业：收购</w:t>
      </w:r>
      <w:r w:rsidRPr="008B4628">
        <w:rPr>
          <w:rFonts w:ascii="宋体" w:eastAsia="宋体" w:hAnsi="Times New Roman"/>
          <w:color w:val="000000"/>
        </w:rPr>
        <w:t xml:space="preserve"> TESCO在中国境内的业务及双方随后162亿美元的中国零售业历史上最大的战略合资项目；</w:t>
      </w:r>
    </w:p>
    <w:p w14:paraId="73D5A754" w14:textId="77777777" w:rsidR="008B4628" w:rsidRDefault="008B4628" w:rsidP="008B4628">
      <w:pPr>
        <w:pStyle w:val="af5"/>
        <w:numPr>
          <w:ilvl w:val="0"/>
          <w:numId w:val="36"/>
        </w:numPr>
        <w:spacing w:before="120"/>
        <w:ind w:left="690" w:hanging="240"/>
        <w:rPr>
          <w:rFonts w:ascii="宋体" w:eastAsia="宋体" w:hAnsi="Times New Roman"/>
          <w:color w:val="000000"/>
        </w:rPr>
      </w:pPr>
      <w:r w:rsidRPr="008B4628">
        <w:rPr>
          <w:rFonts w:ascii="宋体" w:eastAsia="宋体" w:hAnsi="Times New Roman" w:hint="eastAsia"/>
          <w:color w:val="000000"/>
        </w:rPr>
        <w:t>卡哥科特</w:t>
      </w:r>
      <w:r w:rsidRPr="008B4628">
        <w:rPr>
          <w:rFonts w:ascii="宋体" w:eastAsia="宋体" w:hAnsi="Times New Roman"/>
          <w:color w:val="000000"/>
        </w:rPr>
        <w:t xml:space="preserve"> Cargotec Corporation：与中国重汽在起重机领域的合资项目和与江苏润邦重工股份有限公司相关的投资；</w:t>
      </w:r>
    </w:p>
    <w:p w14:paraId="1FC1C4B9" w14:textId="77777777" w:rsidR="008B4628" w:rsidRDefault="008B4628" w:rsidP="008B4628">
      <w:pPr>
        <w:pStyle w:val="af5"/>
        <w:numPr>
          <w:ilvl w:val="0"/>
          <w:numId w:val="37"/>
        </w:numPr>
        <w:spacing w:before="120"/>
        <w:ind w:left="690" w:hanging="240"/>
        <w:rPr>
          <w:rFonts w:ascii="宋体" w:eastAsia="宋体" w:hAnsi="Times New Roman"/>
          <w:color w:val="000000"/>
        </w:rPr>
      </w:pPr>
      <w:r w:rsidRPr="008B4628">
        <w:rPr>
          <w:rFonts w:ascii="宋体" w:eastAsia="宋体" w:hAnsi="Times New Roman" w:hint="eastAsia"/>
          <w:color w:val="000000"/>
        </w:rPr>
        <w:t>中国进出口银行、美国摩根大通集团、海航资本控股有限公司、宝钢集团有限公司、</w:t>
      </w:r>
      <w:r w:rsidRPr="008B4628">
        <w:rPr>
          <w:rFonts w:ascii="宋体" w:eastAsia="宋体" w:hAnsi="Times New Roman"/>
          <w:color w:val="000000"/>
        </w:rPr>
        <w:t xml:space="preserve"> 西门子（中国）有限公司：设立中合中小企业担保股份有限公司（注册资本金51.26亿元人民币）；</w:t>
      </w:r>
    </w:p>
    <w:p w14:paraId="5958ED62" w14:textId="77777777" w:rsidR="008B4628" w:rsidRDefault="008B4628" w:rsidP="008B4628">
      <w:pPr>
        <w:pStyle w:val="af5"/>
        <w:numPr>
          <w:ilvl w:val="0"/>
          <w:numId w:val="38"/>
        </w:numPr>
        <w:spacing w:before="120"/>
        <w:ind w:left="690" w:hanging="240"/>
        <w:rPr>
          <w:rFonts w:ascii="宋体" w:eastAsia="宋体" w:hAnsi="Times New Roman"/>
          <w:color w:val="000000"/>
        </w:rPr>
      </w:pPr>
      <w:r w:rsidRPr="008B4628">
        <w:rPr>
          <w:rFonts w:ascii="宋体" w:eastAsia="宋体" w:hAnsi="Times New Roman" w:hint="eastAsia"/>
          <w:color w:val="000000"/>
        </w:rPr>
        <w:t>飞利浦（照明）：与深桑达在中国境内的战略合资项目；飞利浦（家电）：对奔腾电器（上海）有限公司约</w:t>
      </w:r>
      <w:r w:rsidRPr="008B4628">
        <w:rPr>
          <w:rFonts w:ascii="宋体" w:eastAsia="宋体" w:hAnsi="Times New Roman"/>
          <w:color w:val="000000"/>
        </w:rPr>
        <w:t xml:space="preserve"> 25 亿元的收购；</w:t>
      </w:r>
    </w:p>
    <w:p w14:paraId="63FC52D8" w14:textId="77777777" w:rsidR="008B4628" w:rsidRDefault="008B4628" w:rsidP="008B4628">
      <w:pPr>
        <w:pStyle w:val="af5"/>
        <w:numPr>
          <w:ilvl w:val="0"/>
          <w:numId w:val="39"/>
        </w:numPr>
        <w:spacing w:before="120"/>
        <w:ind w:left="690" w:hanging="240"/>
        <w:rPr>
          <w:rFonts w:ascii="宋体" w:eastAsia="宋体" w:hAnsi="Times New Roman"/>
          <w:color w:val="000000"/>
        </w:rPr>
      </w:pPr>
      <w:r w:rsidRPr="008B4628">
        <w:rPr>
          <w:rFonts w:ascii="宋体" w:eastAsia="宋体" w:hAnsi="Times New Roman" w:hint="eastAsia"/>
          <w:color w:val="000000"/>
        </w:rPr>
        <w:t>西门子（能源）：与上海电气集团共同设立的风电合资公司；</w:t>
      </w:r>
      <w:r w:rsidRPr="008B4628">
        <w:rPr>
          <w:rFonts w:ascii="宋体" w:eastAsia="宋体" w:hAnsi="Times New Roman"/>
          <w:color w:val="000000"/>
        </w:rPr>
        <w:t xml:space="preserve">   其它主要产业客户还包括奥斯龙、通用电气（航空）、通用电气（油气）、格莱纳（Greiner）、欧莱雅、宁波双林、SK化学、Visa, Inc. 和伊利集团。</w:t>
      </w:r>
    </w:p>
    <w:p w14:paraId="65A2483E" w14:textId="77777777" w:rsidR="008B4628" w:rsidRDefault="008B4628" w:rsidP="008B4628">
      <w:pPr>
        <w:pStyle w:val="af5"/>
        <w:spacing w:before="120"/>
        <w:rPr>
          <w:rFonts w:ascii="宋体" w:eastAsia="宋体" w:hAnsi="Times New Roman"/>
          <w:color w:val="000000"/>
        </w:rPr>
      </w:pPr>
      <w:r w:rsidRPr="008B4628">
        <w:rPr>
          <w:rFonts w:ascii="宋体" w:eastAsia="宋体" w:hAnsi="Times New Roman" w:hint="eastAsia"/>
          <w:color w:val="000000"/>
        </w:rPr>
        <w:t>私募股权基金在中国境内的并购、投资和退出</w:t>
      </w:r>
    </w:p>
    <w:p w14:paraId="1A63B195" w14:textId="77777777" w:rsidR="008B4628" w:rsidRDefault="008B4628" w:rsidP="008B4628">
      <w:pPr>
        <w:pStyle w:val="af5"/>
        <w:numPr>
          <w:ilvl w:val="0"/>
          <w:numId w:val="40"/>
        </w:numPr>
        <w:spacing w:before="120"/>
        <w:ind w:left="690" w:hanging="240"/>
        <w:rPr>
          <w:rFonts w:ascii="宋体" w:eastAsia="宋体" w:hAnsi="Times New Roman"/>
          <w:color w:val="000000"/>
        </w:rPr>
      </w:pPr>
      <w:r w:rsidRPr="008B4628">
        <w:rPr>
          <w:rFonts w:ascii="宋体" w:eastAsia="宋体" w:hAnsi="Times New Roman" w:hint="eastAsia"/>
          <w:color w:val="000000"/>
        </w:rPr>
        <w:t>高瓴资本：</w:t>
      </w:r>
      <w:r w:rsidRPr="008B4628">
        <w:rPr>
          <w:rFonts w:ascii="宋体" w:eastAsia="宋体" w:hAnsi="Times New Roman"/>
          <w:color w:val="000000"/>
        </w:rPr>
        <w:t>(i) 对数十家企业的控制权交易和追加收购（Euclid、罗曼湖、Burton）；(ii) 在教育（高顿）、消费品（江小白）、医药（奕安济世、科望、多禧生物）、物流、电商（海豚家、美菜网）、共享经济（梦想加）等领域的股权投资；</w:t>
      </w:r>
    </w:p>
    <w:p w14:paraId="3BEB9DAF" w14:textId="77777777" w:rsidR="008B4628" w:rsidRDefault="008B4628" w:rsidP="008B4628">
      <w:pPr>
        <w:pStyle w:val="af5"/>
        <w:numPr>
          <w:ilvl w:val="0"/>
          <w:numId w:val="41"/>
        </w:numPr>
        <w:spacing w:before="120"/>
        <w:ind w:left="690" w:hanging="240"/>
        <w:rPr>
          <w:rFonts w:ascii="宋体" w:eastAsia="宋体" w:hAnsi="Times New Roman"/>
          <w:color w:val="000000"/>
        </w:rPr>
      </w:pPr>
      <w:r w:rsidRPr="008B4628">
        <w:rPr>
          <w:rFonts w:ascii="宋体" w:eastAsia="宋体" w:hAnsi="Times New Roman" w:hint="eastAsia"/>
          <w:color w:val="000000"/>
        </w:rPr>
        <w:t>新程资本：私募股权二级市场直接投资，包括：从蓝山资本处进行收购，投资孩子王，以及与其被投公司相关事务（如联合水务等）；</w:t>
      </w:r>
    </w:p>
    <w:p w14:paraId="4D8407A2" w14:textId="77777777" w:rsidR="008B4628" w:rsidRDefault="008B4628" w:rsidP="008B4628">
      <w:pPr>
        <w:pStyle w:val="af5"/>
        <w:numPr>
          <w:ilvl w:val="0"/>
          <w:numId w:val="42"/>
        </w:numPr>
        <w:spacing w:before="120"/>
        <w:ind w:left="690" w:hanging="240"/>
        <w:rPr>
          <w:rFonts w:ascii="宋体" w:eastAsia="宋体" w:hAnsi="Times New Roman"/>
          <w:color w:val="000000"/>
        </w:rPr>
      </w:pPr>
      <w:r w:rsidRPr="008B4628">
        <w:rPr>
          <w:rFonts w:ascii="宋体" w:eastAsia="宋体" w:hAnsi="Times New Roman" w:hint="eastAsia"/>
          <w:color w:val="000000"/>
        </w:rPr>
        <w:t>高盛：东软医疗、东软熙康、第四范式；多家企业的投资及退出（千禾味业（</w:t>
      </w:r>
      <w:r w:rsidRPr="008B4628">
        <w:rPr>
          <w:rFonts w:ascii="宋体" w:eastAsia="宋体" w:hAnsi="Times New Roman"/>
          <w:color w:val="000000"/>
        </w:rPr>
        <w:t>SH：603027）、口子酒（SH：603589）、宋河酒业，及其他大健康领域项目）；泰康人寿（约9.6亿美元的投资及向安联出售超过10亿美元的股份）；</w:t>
      </w:r>
    </w:p>
    <w:p w14:paraId="3253A8B1" w14:textId="77777777" w:rsidR="008B4628" w:rsidRDefault="008B4628" w:rsidP="008B4628">
      <w:pPr>
        <w:pStyle w:val="af5"/>
        <w:numPr>
          <w:ilvl w:val="0"/>
          <w:numId w:val="43"/>
        </w:numPr>
        <w:spacing w:before="120"/>
        <w:ind w:left="690" w:hanging="240"/>
        <w:rPr>
          <w:rFonts w:ascii="宋体" w:eastAsia="宋体" w:hAnsi="Times New Roman"/>
          <w:color w:val="000000"/>
        </w:rPr>
      </w:pPr>
      <w:r w:rsidRPr="008B4628">
        <w:rPr>
          <w:rFonts w:ascii="宋体" w:eastAsia="宋体" w:hAnsi="Times New Roman" w:hint="eastAsia"/>
          <w:color w:val="000000"/>
        </w:rPr>
        <w:t>渣打私募股权基金领投的买方财团：</w:t>
      </w:r>
      <w:r w:rsidRPr="008B4628">
        <w:rPr>
          <w:rFonts w:ascii="宋体" w:eastAsia="宋体" w:hAnsi="Times New Roman"/>
          <w:color w:val="000000"/>
        </w:rPr>
        <w:t>(i) 对思妍丽超过2亿美元的杠杆收购以及相关收购融资；(ii) 将思妍丽小部分股权以换股的方式出售给上市公司潮宏基；(iii) 将思妍丽大部分股权出售给数个私募股权投资公司（安博凯）；</w:t>
      </w:r>
    </w:p>
    <w:p w14:paraId="1B9FBE1D" w14:textId="77777777" w:rsidR="008B4628" w:rsidRDefault="008B4628" w:rsidP="008B4628">
      <w:pPr>
        <w:pStyle w:val="af5"/>
        <w:numPr>
          <w:ilvl w:val="0"/>
          <w:numId w:val="44"/>
        </w:numPr>
        <w:spacing w:before="120"/>
        <w:ind w:left="690" w:hanging="240"/>
        <w:rPr>
          <w:rFonts w:ascii="宋体" w:eastAsia="宋体" w:hAnsi="Times New Roman"/>
          <w:color w:val="000000"/>
        </w:rPr>
      </w:pPr>
      <w:r w:rsidRPr="008B4628">
        <w:rPr>
          <w:rFonts w:ascii="宋体" w:eastAsia="宋体" w:hAnsi="Times New Roman" w:hint="eastAsia"/>
          <w:color w:val="000000"/>
        </w:rPr>
        <w:t>安博凯和思妍丽（作为由安博凯控制的被投公司）：多项在中国的并购；</w:t>
      </w:r>
    </w:p>
    <w:p w14:paraId="72BF6858" w14:textId="77777777" w:rsidR="008B4628" w:rsidRDefault="008B4628" w:rsidP="008B4628">
      <w:pPr>
        <w:pStyle w:val="af5"/>
        <w:numPr>
          <w:ilvl w:val="0"/>
          <w:numId w:val="45"/>
        </w:numPr>
        <w:spacing w:before="120"/>
        <w:ind w:left="690" w:hanging="240"/>
        <w:rPr>
          <w:rFonts w:ascii="宋体" w:eastAsia="宋体" w:hAnsi="Times New Roman"/>
          <w:color w:val="000000"/>
        </w:rPr>
      </w:pPr>
      <w:r w:rsidRPr="008B4628">
        <w:rPr>
          <w:rFonts w:ascii="宋体" w:eastAsia="宋体" w:hAnsi="Times New Roman" w:hint="eastAsia"/>
          <w:color w:val="000000"/>
        </w:rPr>
        <w:t>中国人寿旗下的一支私募基金领投的买方财团：联影医疗</w:t>
      </w:r>
      <w:r w:rsidRPr="008B4628">
        <w:rPr>
          <w:rFonts w:ascii="宋体" w:eastAsia="宋体" w:hAnsi="Times New Roman"/>
          <w:color w:val="000000"/>
        </w:rPr>
        <w:t xml:space="preserve"> A 轮；中国人寿旗下基金对数个基金的投资以及下游直接投资（主要在大健康领域）；</w:t>
      </w:r>
    </w:p>
    <w:p w14:paraId="0AC84123" w14:textId="77777777" w:rsidR="008B4628" w:rsidRDefault="008B4628" w:rsidP="008B4628">
      <w:pPr>
        <w:pStyle w:val="af5"/>
        <w:numPr>
          <w:ilvl w:val="0"/>
          <w:numId w:val="46"/>
        </w:numPr>
        <w:spacing w:before="120"/>
        <w:ind w:left="690" w:hanging="240"/>
        <w:rPr>
          <w:rFonts w:ascii="宋体" w:eastAsia="宋体" w:hAnsi="Times New Roman"/>
          <w:color w:val="000000"/>
        </w:rPr>
      </w:pPr>
      <w:r w:rsidRPr="008B4628">
        <w:rPr>
          <w:rFonts w:ascii="宋体" w:eastAsia="宋体" w:hAnsi="Times New Roman" w:hint="eastAsia"/>
          <w:color w:val="000000"/>
        </w:rPr>
        <w:t>朗泰资本：奇虎</w:t>
      </w:r>
      <w:r w:rsidRPr="008B4628">
        <w:rPr>
          <w:rFonts w:ascii="宋体" w:eastAsia="宋体" w:hAnsi="Times New Roman"/>
          <w:color w:val="000000"/>
        </w:rPr>
        <w:t xml:space="preserve"> 360和爱康国宾的私有化；</w:t>
      </w:r>
    </w:p>
    <w:p w14:paraId="10B1138C" w14:textId="77777777" w:rsidR="008B4628" w:rsidRDefault="008B4628" w:rsidP="008B4628">
      <w:pPr>
        <w:pStyle w:val="af5"/>
        <w:numPr>
          <w:ilvl w:val="0"/>
          <w:numId w:val="47"/>
        </w:numPr>
        <w:spacing w:before="120"/>
        <w:ind w:left="690" w:hanging="240"/>
        <w:rPr>
          <w:rFonts w:ascii="宋体" w:eastAsia="宋体" w:hAnsi="Times New Roman"/>
          <w:color w:val="000000"/>
        </w:rPr>
      </w:pPr>
      <w:r w:rsidRPr="008B4628">
        <w:rPr>
          <w:rFonts w:ascii="宋体" w:eastAsia="宋体" w:hAnsi="Times New Roman" w:hint="eastAsia"/>
          <w:color w:val="000000"/>
        </w:rPr>
        <w:t>富登金融：与中国银行共同收购一家大型中国银行在相关村镇银行中的权益，以及国家开发银行在</w:t>
      </w:r>
      <w:r w:rsidRPr="008B4628">
        <w:rPr>
          <w:rFonts w:ascii="宋体" w:eastAsia="宋体" w:hAnsi="Times New Roman"/>
          <w:color w:val="000000"/>
        </w:rPr>
        <w:t>15家村镇银行中的权益；淡马锡、富登金融：与中国银行共同设立村镇银行领域的多家合资企业，包括中银富登村镇银行；淡马锡：与中信私募、嘉里集团和IDG共同进行对凡客诚品2.3亿美元的投资；</w:t>
      </w:r>
    </w:p>
    <w:p w14:paraId="7D8B3285" w14:textId="77777777" w:rsidR="008B4628" w:rsidRDefault="008B4628" w:rsidP="008B4628">
      <w:pPr>
        <w:pStyle w:val="af5"/>
        <w:numPr>
          <w:ilvl w:val="0"/>
          <w:numId w:val="48"/>
        </w:numPr>
        <w:spacing w:before="120"/>
        <w:ind w:left="690" w:hanging="240"/>
        <w:rPr>
          <w:rFonts w:ascii="宋体" w:eastAsia="宋体" w:hAnsi="Times New Roman"/>
          <w:color w:val="000000"/>
        </w:rPr>
      </w:pPr>
      <w:r w:rsidRPr="008B4628">
        <w:rPr>
          <w:rFonts w:ascii="宋体" w:eastAsia="宋体" w:hAnsi="Times New Roman" w:hint="eastAsia"/>
          <w:color w:val="000000"/>
        </w:rPr>
        <w:t>凯雷、方源资本和复星为代表的买方财团：分众传媒的私有化和</w:t>
      </w:r>
      <w:r w:rsidRPr="008B4628">
        <w:rPr>
          <w:rFonts w:ascii="宋体" w:eastAsia="宋体" w:hAnsi="Times New Roman"/>
          <w:color w:val="000000"/>
        </w:rPr>
        <w:t>A股借壳上市；</w:t>
      </w:r>
    </w:p>
    <w:p w14:paraId="6438382E" w14:textId="77777777" w:rsidR="008B4628" w:rsidRDefault="008B4628" w:rsidP="008B4628">
      <w:pPr>
        <w:pStyle w:val="af5"/>
        <w:numPr>
          <w:ilvl w:val="0"/>
          <w:numId w:val="49"/>
        </w:numPr>
        <w:spacing w:before="120"/>
        <w:ind w:left="690" w:hanging="240"/>
        <w:rPr>
          <w:rFonts w:ascii="宋体" w:eastAsia="宋体" w:hAnsi="Times New Roman"/>
          <w:color w:val="000000"/>
        </w:rPr>
      </w:pPr>
      <w:r w:rsidRPr="008B4628">
        <w:rPr>
          <w:rFonts w:ascii="宋体" w:eastAsia="宋体" w:hAnsi="Times New Roman" w:hint="eastAsia"/>
          <w:color w:val="000000"/>
        </w:rPr>
        <w:t>博裕资本：对中粮肉食和其他项目的投资；博裕资本和渣打私募股权基金对满记甜品的投资及重组；</w:t>
      </w:r>
    </w:p>
    <w:p w14:paraId="6627A6BB" w14:textId="77777777" w:rsidR="008B4628" w:rsidRDefault="008B4628" w:rsidP="008B4628">
      <w:pPr>
        <w:pStyle w:val="af5"/>
        <w:numPr>
          <w:ilvl w:val="0"/>
          <w:numId w:val="50"/>
        </w:numPr>
        <w:spacing w:before="120"/>
        <w:ind w:left="690" w:hanging="240"/>
        <w:rPr>
          <w:rFonts w:ascii="宋体" w:eastAsia="宋体" w:hAnsi="Times New Roman"/>
          <w:color w:val="000000"/>
        </w:rPr>
      </w:pPr>
      <w:r w:rsidRPr="008B4628">
        <w:rPr>
          <w:rFonts w:ascii="宋体" w:eastAsia="宋体" w:hAnsi="Times New Roman" w:hint="eastAsia"/>
          <w:color w:val="000000"/>
        </w:rPr>
        <w:t>元禾控股及其旗下基金：从</w:t>
      </w:r>
      <w:r w:rsidRPr="008B4628">
        <w:rPr>
          <w:rFonts w:ascii="宋体" w:eastAsia="宋体" w:hAnsi="Times New Roman"/>
          <w:color w:val="000000"/>
        </w:rPr>
        <w:t>2013年以来的数十项投资；</w:t>
      </w:r>
    </w:p>
    <w:p w14:paraId="69F6A73E" w14:textId="77777777" w:rsidR="008B4628" w:rsidRDefault="008B4628" w:rsidP="008B4628">
      <w:pPr>
        <w:pStyle w:val="af5"/>
        <w:numPr>
          <w:ilvl w:val="0"/>
          <w:numId w:val="51"/>
        </w:numPr>
        <w:spacing w:before="120"/>
        <w:ind w:left="690" w:hanging="240"/>
        <w:rPr>
          <w:rFonts w:ascii="宋体" w:eastAsia="宋体" w:hAnsi="Times New Roman"/>
          <w:color w:val="000000"/>
        </w:rPr>
      </w:pPr>
      <w:r w:rsidRPr="008B4628">
        <w:rPr>
          <w:rFonts w:ascii="宋体" w:eastAsia="宋体" w:hAnsi="Times New Roman" w:hint="eastAsia"/>
          <w:color w:val="000000"/>
        </w:rPr>
        <w:t>云锋基金：各个领域的多项投资；</w:t>
      </w:r>
    </w:p>
    <w:p w14:paraId="68B2FC23" w14:textId="77777777" w:rsidR="008B4628" w:rsidRDefault="008B4628" w:rsidP="008B4628">
      <w:pPr>
        <w:pStyle w:val="af5"/>
        <w:numPr>
          <w:ilvl w:val="0"/>
          <w:numId w:val="52"/>
        </w:numPr>
        <w:spacing w:before="120"/>
        <w:ind w:left="690" w:hanging="240"/>
        <w:rPr>
          <w:rFonts w:ascii="宋体" w:eastAsia="宋体" w:hAnsi="Times New Roman"/>
          <w:color w:val="000000"/>
        </w:rPr>
      </w:pPr>
      <w:r w:rsidRPr="008B4628">
        <w:rPr>
          <w:rFonts w:ascii="宋体" w:eastAsia="宋体" w:hAnsi="Times New Roman" w:hint="eastAsia"/>
          <w:color w:val="000000"/>
        </w:rPr>
        <w:t>工银国际旗下的融睿基金：以</w:t>
      </w:r>
      <w:r w:rsidRPr="008B4628">
        <w:rPr>
          <w:rFonts w:ascii="宋体" w:eastAsia="宋体" w:hAnsi="Times New Roman"/>
          <w:color w:val="000000"/>
        </w:rPr>
        <w:t>71亿元人民币收购美的集团12.18%的股权；</w:t>
      </w:r>
    </w:p>
    <w:p w14:paraId="0C63F2D5" w14:textId="77777777" w:rsidR="008B4628" w:rsidRDefault="008B4628" w:rsidP="008B4628">
      <w:pPr>
        <w:pStyle w:val="af5"/>
        <w:numPr>
          <w:ilvl w:val="0"/>
          <w:numId w:val="53"/>
        </w:numPr>
        <w:spacing w:before="120"/>
        <w:ind w:left="690" w:hanging="240"/>
        <w:rPr>
          <w:rFonts w:ascii="宋体" w:eastAsia="宋体" w:hAnsi="Times New Roman"/>
          <w:color w:val="000000"/>
        </w:rPr>
      </w:pPr>
      <w:r w:rsidRPr="008B4628">
        <w:rPr>
          <w:rFonts w:ascii="宋体" w:eastAsia="宋体" w:hAnsi="Times New Roman" w:hint="eastAsia"/>
          <w:color w:val="000000"/>
        </w:rPr>
        <w:t>德克萨斯太平洋资本（</w:t>
      </w:r>
      <w:r w:rsidRPr="008B4628">
        <w:rPr>
          <w:rFonts w:ascii="宋体" w:eastAsia="宋体" w:hAnsi="Times New Roman"/>
          <w:color w:val="000000"/>
        </w:rPr>
        <w:t>TPG）：在金融服务领域的投资；在能源、消费品领域（达芙妮国际）的收购、投资和退出项目；代表TPG和KKR收购摩根士丹利持有的中国国际金融有限公司的股权。   其它服务过的私募股权客户包括盘实资本、AEA、亚赋资本、中信产业基金、华人文化、Franklin Templeton、Overlook Partners、PAG、嘉御资本。</w:t>
      </w:r>
    </w:p>
    <w:p w14:paraId="0965D76B" w14:textId="77777777" w:rsidR="008B4628" w:rsidRDefault="008B4628" w:rsidP="008B4628">
      <w:pPr>
        <w:pStyle w:val="af5"/>
        <w:spacing w:before="120"/>
        <w:rPr>
          <w:rFonts w:ascii="宋体" w:eastAsia="宋体" w:hAnsi="Times New Roman"/>
          <w:color w:val="000000"/>
        </w:rPr>
      </w:pPr>
      <w:r w:rsidRPr="008B4628">
        <w:rPr>
          <w:rFonts w:ascii="宋体" w:eastAsia="宋体" w:hAnsi="Times New Roman" w:hint="eastAsia"/>
          <w:color w:val="000000"/>
        </w:rPr>
        <w:t>基金设立业务方面</w:t>
      </w:r>
    </w:p>
    <w:p w14:paraId="3AC77303" w14:textId="77777777" w:rsidR="008B4628" w:rsidRDefault="008B4628" w:rsidP="008B4628">
      <w:pPr>
        <w:pStyle w:val="af5"/>
        <w:numPr>
          <w:ilvl w:val="0"/>
          <w:numId w:val="54"/>
        </w:numPr>
        <w:spacing w:before="120"/>
        <w:ind w:left="690" w:hanging="240"/>
        <w:rPr>
          <w:rFonts w:ascii="宋体" w:eastAsia="宋体" w:hAnsi="Times New Roman"/>
          <w:color w:val="000000"/>
        </w:rPr>
      </w:pPr>
      <w:r w:rsidRPr="008B4628">
        <w:rPr>
          <w:rFonts w:ascii="宋体" w:eastAsia="宋体" w:hAnsi="Times New Roman" w:hint="eastAsia"/>
          <w:color w:val="000000"/>
        </w:rPr>
        <w:t>钟律师曾是上海办公室基金设立业务的主要牵头合伙人，在基金设立业务方面有着丰富的经验。基金设立方面的代表性客户包括德克萨斯太平洋资本（</w:t>
      </w:r>
      <w:r w:rsidRPr="008B4628">
        <w:rPr>
          <w:rFonts w:ascii="宋体" w:eastAsia="宋体" w:hAnsi="Times New Roman"/>
          <w:color w:val="000000"/>
        </w:rPr>
        <w:t>TPG）、AMP、DARBY私募股权、复星、金砖资本、国和、国盛和里昂、工银国际、元禾资本、嘉御资本和云锋基金。</w:t>
      </w:r>
    </w:p>
    <w:p w14:paraId="31DD5D2B" w14:textId="77777777" w:rsidR="008B4628" w:rsidRDefault="008B4628" w:rsidP="008B4628">
      <w:pPr>
        <w:pStyle w:val="af5"/>
        <w:spacing w:after="0" w:line="480" w:lineRule="auto"/>
        <w:rPr>
          <w:rFonts w:ascii="宋体" w:eastAsia="宋体" w:hAnsi="宋体"/>
          <w:b/>
          <w:sz w:val="24"/>
        </w:rPr>
      </w:pPr>
      <w:r w:rsidRPr="008B4628">
        <w:rPr>
          <w:rFonts w:ascii="宋体" w:eastAsia="宋体" w:hAnsi="宋体" w:hint="eastAsia"/>
          <w:b/>
          <w:sz w:val="24"/>
        </w:rPr>
        <w:t>教育背景</w:t>
      </w:r>
    </w:p>
    <w:p w14:paraId="5F73FBDB" w14:textId="77777777" w:rsidR="008B4628" w:rsidRDefault="008B4628" w:rsidP="008B4628">
      <w:pPr>
        <w:pStyle w:val="af5"/>
        <w:numPr>
          <w:ilvl w:val="0"/>
          <w:numId w:val="55"/>
        </w:numPr>
        <w:spacing w:before="120"/>
        <w:ind w:left="690" w:hanging="240"/>
        <w:rPr>
          <w:rFonts w:ascii="宋体" w:eastAsia="宋体" w:hAnsi="Times New Roman"/>
          <w:color w:val="000000"/>
        </w:rPr>
      </w:pPr>
      <w:r w:rsidRPr="008B4628">
        <w:rPr>
          <w:rFonts w:ascii="宋体" w:eastAsia="宋体" w:hAnsi="Times New Roman" w:hint="eastAsia"/>
          <w:color w:val="000000"/>
        </w:rPr>
        <w:t>纽约哥伦比亚大学法学院，法律博士（最高荣誉），</w:t>
      </w:r>
      <w:r w:rsidRPr="008B4628">
        <w:rPr>
          <w:rFonts w:ascii="宋体" w:eastAsia="宋体" w:hAnsi="Times New Roman"/>
          <w:color w:val="000000"/>
        </w:rPr>
        <w:t>2005</w:t>
      </w:r>
    </w:p>
    <w:p w14:paraId="514D3558" w14:textId="77777777" w:rsidR="008B4628" w:rsidRDefault="008B4628" w:rsidP="008B4628">
      <w:pPr>
        <w:pStyle w:val="af5"/>
        <w:numPr>
          <w:ilvl w:val="0"/>
          <w:numId w:val="56"/>
        </w:numPr>
        <w:spacing w:before="120"/>
        <w:ind w:left="690" w:hanging="240"/>
        <w:rPr>
          <w:rFonts w:ascii="宋体" w:eastAsia="宋体" w:hAnsi="Times New Roman"/>
          <w:color w:val="000000"/>
        </w:rPr>
      </w:pPr>
      <w:r w:rsidRPr="008B4628">
        <w:rPr>
          <w:rFonts w:ascii="宋体" w:eastAsia="宋体" w:hAnsi="Times New Roman" w:hint="eastAsia"/>
          <w:color w:val="000000"/>
        </w:rPr>
        <w:t>复旦大学法学院，法学硕士，</w:t>
      </w:r>
      <w:r w:rsidRPr="008B4628">
        <w:rPr>
          <w:rFonts w:ascii="宋体" w:eastAsia="宋体" w:hAnsi="Times New Roman"/>
          <w:color w:val="000000"/>
        </w:rPr>
        <w:t>2002</w:t>
      </w:r>
    </w:p>
    <w:p w14:paraId="5A080FBE" w14:textId="77777777" w:rsidR="008B4628" w:rsidRDefault="008B4628" w:rsidP="008B4628">
      <w:pPr>
        <w:pStyle w:val="af5"/>
        <w:numPr>
          <w:ilvl w:val="0"/>
          <w:numId w:val="57"/>
        </w:numPr>
        <w:spacing w:before="120"/>
        <w:ind w:left="690" w:hanging="240"/>
        <w:rPr>
          <w:rFonts w:ascii="宋体" w:eastAsia="宋体" w:hAnsi="Times New Roman"/>
          <w:color w:val="000000"/>
        </w:rPr>
      </w:pPr>
      <w:r w:rsidRPr="008B4628">
        <w:rPr>
          <w:rFonts w:ascii="宋体" w:eastAsia="宋体" w:hAnsi="Times New Roman" w:hint="eastAsia"/>
          <w:color w:val="000000"/>
        </w:rPr>
        <w:t>对外经济贸易大学法学院，法学士（最高荣誉），</w:t>
      </w:r>
      <w:r w:rsidRPr="008B4628">
        <w:rPr>
          <w:rFonts w:ascii="宋体" w:eastAsia="宋体" w:hAnsi="Times New Roman"/>
          <w:color w:val="000000"/>
        </w:rPr>
        <w:t>1999</w:t>
      </w:r>
    </w:p>
    <w:p w14:paraId="641F0915" w14:textId="77777777" w:rsidR="008B4628" w:rsidRDefault="008B4628" w:rsidP="008B4628">
      <w:pPr>
        <w:pStyle w:val="af5"/>
        <w:numPr>
          <w:ilvl w:val="0"/>
          <w:numId w:val="58"/>
        </w:numPr>
        <w:spacing w:before="120"/>
        <w:ind w:left="690" w:hanging="240"/>
        <w:rPr>
          <w:rFonts w:ascii="宋体" w:eastAsia="宋体" w:hAnsi="Times New Roman"/>
          <w:color w:val="000000"/>
        </w:rPr>
      </w:pPr>
      <w:r w:rsidRPr="008B4628">
        <w:rPr>
          <w:rFonts w:ascii="宋体" w:eastAsia="宋体" w:hAnsi="Times New Roman"/>
          <w:color w:val="000000"/>
        </w:rPr>
        <w:t>1995年高考上海市文科第一名</w:t>
      </w:r>
    </w:p>
    <w:p w14:paraId="3E9ACC46" w14:textId="77777777" w:rsidR="008B4628" w:rsidRDefault="008B4628" w:rsidP="008B4628">
      <w:pPr>
        <w:pStyle w:val="af5"/>
        <w:spacing w:after="0" w:line="480" w:lineRule="auto"/>
        <w:rPr>
          <w:rFonts w:ascii="宋体" w:eastAsia="宋体" w:hAnsi="宋体"/>
          <w:b/>
          <w:sz w:val="24"/>
        </w:rPr>
      </w:pPr>
      <w:r w:rsidRPr="008B4628">
        <w:rPr>
          <w:rFonts w:ascii="宋体" w:eastAsia="宋体" w:hAnsi="宋体" w:hint="eastAsia"/>
          <w:b/>
          <w:sz w:val="24"/>
        </w:rPr>
        <w:t>执业资格</w:t>
      </w:r>
    </w:p>
    <w:p w14:paraId="5AF15330" w14:textId="77777777" w:rsidR="008B4628" w:rsidRDefault="008B4628" w:rsidP="008B4628">
      <w:pPr>
        <w:pStyle w:val="af5"/>
        <w:numPr>
          <w:ilvl w:val="0"/>
          <w:numId w:val="59"/>
        </w:numPr>
        <w:spacing w:before="120"/>
        <w:ind w:left="690" w:hanging="240"/>
        <w:rPr>
          <w:rFonts w:ascii="宋体" w:eastAsia="宋体" w:hAnsi="Times New Roman"/>
          <w:color w:val="000000"/>
        </w:rPr>
      </w:pPr>
      <w:r w:rsidRPr="008B4628">
        <w:rPr>
          <w:rFonts w:ascii="宋体" w:eastAsia="宋体" w:hAnsi="Times New Roman" w:hint="eastAsia"/>
          <w:color w:val="000000"/>
        </w:rPr>
        <w:t>中华人民共和国执业律师</w:t>
      </w:r>
    </w:p>
    <w:p w14:paraId="70383D06" w14:textId="77777777" w:rsidR="008B4628" w:rsidRDefault="008B4628" w:rsidP="008B4628">
      <w:pPr>
        <w:pStyle w:val="af5"/>
        <w:numPr>
          <w:ilvl w:val="0"/>
          <w:numId w:val="60"/>
        </w:numPr>
        <w:spacing w:before="120"/>
        <w:ind w:left="690" w:hanging="240"/>
        <w:rPr>
          <w:rFonts w:ascii="宋体" w:eastAsia="宋体" w:hAnsi="Times New Roman"/>
          <w:color w:val="000000"/>
        </w:rPr>
      </w:pPr>
      <w:r w:rsidRPr="008B4628">
        <w:rPr>
          <w:rFonts w:ascii="宋体" w:eastAsia="宋体" w:hAnsi="Times New Roman" w:hint="eastAsia"/>
          <w:color w:val="000000"/>
        </w:rPr>
        <w:t>美国纽约州执业律师</w:t>
      </w:r>
    </w:p>
    <w:p w14:paraId="6215EFB5" w14:textId="77777777" w:rsidR="008B4628" w:rsidRDefault="008B4628" w:rsidP="008B4628">
      <w:pPr>
        <w:pStyle w:val="af5"/>
        <w:numPr>
          <w:ilvl w:val="0"/>
          <w:numId w:val="61"/>
        </w:numPr>
        <w:spacing w:before="120"/>
        <w:ind w:left="690" w:hanging="240"/>
        <w:rPr>
          <w:rFonts w:ascii="宋体" w:eastAsia="宋体" w:hAnsi="Times New Roman"/>
          <w:color w:val="000000"/>
        </w:rPr>
      </w:pPr>
      <w:r w:rsidRPr="008B4628">
        <w:rPr>
          <w:rFonts w:ascii="宋体" w:eastAsia="宋体" w:hAnsi="Times New Roman" w:hint="eastAsia"/>
          <w:color w:val="000000"/>
        </w:rPr>
        <w:t>香港特别行政区注册外地律师</w:t>
      </w:r>
    </w:p>
    <w:p w14:paraId="4FA93E62" w14:textId="77777777" w:rsidR="008B4628" w:rsidRDefault="008B4628" w:rsidP="008B4628">
      <w:pPr>
        <w:pStyle w:val="af5"/>
        <w:spacing w:after="0" w:line="480" w:lineRule="auto"/>
        <w:rPr>
          <w:rFonts w:ascii="宋体" w:eastAsia="宋体" w:hAnsi="宋体"/>
          <w:b/>
          <w:sz w:val="24"/>
        </w:rPr>
      </w:pPr>
      <w:r w:rsidRPr="008B4628">
        <w:rPr>
          <w:rFonts w:ascii="宋体" w:eastAsia="宋体" w:hAnsi="宋体" w:hint="eastAsia"/>
          <w:b/>
          <w:sz w:val="24"/>
        </w:rPr>
        <w:t>职业背景</w:t>
      </w:r>
    </w:p>
    <w:p w14:paraId="31FB780F" w14:textId="77777777" w:rsidR="008B4628" w:rsidRDefault="008B4628" w:rsidP="008B4628">
      <w:pPr>
        <w:pStyle w:val="af5"/>
        <w:numPr>
          <w:ilvl w:val="0"/>
          <w:numId w:val="62"/>
        </w:numPr>
        <w:spacing w:before="120"/>
        <w:ind w:left="690" w:hanging="240"/>
        <w:rPr>
          <w:rFonts w:ascii="宋体" w:eastAsia="宋体" w:hAnsi="Times New Roman"/>
          <w:color w:val="000000"/>
        </w:rPr>
      </w:pPr>
      <w:r w:rsidRPr="008B4628">
        <w:rPr>
          <w:rFonts w:ascii="宋体" w:eastAsia="宋体" w:hAnsi="Times New Roman" w:hint="eastAsia"/>
          <w:color w:val="000000"/>
        </w:rPr>
        <w:t>钟律师在去美国留学前在方达上海办公室工作。在</w:t>
      </w:r>
      <w:r w:rsidRPr="008B4628">
        <w:rPr>
          <w:rFonts w:ascii="宋体" w:eastAsia="宋体" w:hAnsi="Times New Roman"/>
          <w:color w:val="000000"/>
        </w:rPr>
        <w:t>2009年重新以counsel的身份加入方达北京办公室前，钟律师先后在著名的苏利文克伦威尔律师事务所纽约总部和世达律师事务所纽约总部的收购兼并和公司融资部门工作。钟律师在2012到2018年是负责方达上海和香港办公室的人事主管合伙人。从2018年产业组正式成立起，钟律师是方达产业组（共100多名律师）的主管合伙人。</w:t>
      </w:r>
    </w:p>
    <w:p w14:paraId="686B8298" w14:textId="77777777" w:rsidR="008B4628" w:rsidRDefault="008B4628" w:rsidP="008B4628">
      <w:pPr>
        <w:pStyle w:val="af5"/>
        <w:spacing w:after="0" w:line="480" w:lineRule="auto"/>
        <w:rPr>
          <w:rFonts w:ascii="宋体" w:eastAsia="宋体" w:hAnsi="宋体"/>
          <w:b/>
          <w:sz w:val="24"/>
        </w:rPr>
      </w:pPr>
      <w:r w:rsidRPr="008B4628">
        <w:rPr>
          <w:rFonts w:ascii="宋体" w:eastAsia="宋体" w:hAnsi="宋体" w:hint="eastAsia"/>
          <w:b/>
          <w:sz w:val="24"/>
        </w:rPr>
        <w:t>其他信息</w:t>
      </w:r>
    </w:p>
    <w:p w14:paraId="098BB4D0" w14:textId="77777777" w:rsidR="008B4628" w:rsidRDefault="008B4628" w:rsidP="008B4628">
      <w:pPr>
        <w:pStyle w:val="af5"/>
        <w:spacing w:after="0" w:line="480" w:lineRule="auto"/>
        <w:rPr>
          <w:rFonts w:ascii="宋体" w:eastAsia="宋体" w:hAnsi="宋体"/>
          <w:b/>
          <w:sz w:val="24"/>
        </w:rPr>
      </w:pPr>
      <w:r w:rsidRPr="008B4628">
        <w:rPr>
          <w:rFonts w:ascii="宋体" w:eastAsia="宋体" w:hAnsi="宋体" w:hint="eastAsia"/>
          <w:b/>
          <w:sz w:val="24"/>
        </w:rPr>
        <w:t>获奖情况</w:t>
      </w:r>
    </w:p>
    <w:p w14:paraId="4F0A196B" w14:textId="125B44EB" w:rsidR="00A46A04" w:rsidRPr="008B4628" w:rsidRDefault="008B4628" w:rsidP="008B4628">
      <w:pPr>
        <w:pStyle w:val="af5"/>
        <w:numPr>
          <w:ilvl w:val="0"/>
          <w:numId w:val="63"/>
        </w:numPr>
        <w:spacing w:before="120"/>
        <w:ind w:left="690" w:hanging="240"/>
        <w:rPr>
          <w:rFonts w:ascii="宋体" w:eastAsia="宋体" w:hAnsi="Times New Roman"/>
          <w:color w:val="000000"/>
        </w:rPr>
      </w:pPr>
      <w:r w:rsidRPr="008B4628">
        <w:rPr>
          <w:rFonts w:ascii="宋体" w:eastAsia="宋体" w:hAnsi="Times New Roman"/>
          <w:color w:val="000000"/>
        </w:rPr>
        <w:t>钟律师被钱伯斯环球（Chambers Global） 和钱伯斯大中华区（Chambers Greater China Region）评为在收购兼并领域第一等级（Band 1）的领先律师。钟律师被Legal 500评为中国市场最知名的并购律师之一并入选</w:t>
      </w:r>
      <w:r w:rsidRPr="008B4628">
        <w:rPr>
          <w:rFonts w:ascii="宋体" w:eastAsia="宋体" w:hAnsi="Times New Roman"/>
          <w:color w:val="000000"/>
        </w:rPr>
        <w:t>“</w:t>
      </w:r>
      <w:r w:rsidRPr="008B4628">
        <w:rPr>
          <w:rFonts w:ascii="宋体" w:eastAsia="宋体" w:hAnsi="Times New Roman"/>
          <w:color w:val="000000"/>
        </w:rPr>
        <w:t>名人堂</w:t>
      </w:r>
      <w:r w:rsidRPr="008B4628">
        <w:rPr>
          <w:rFonts w:ascii="宋体" w:eastAsia="宋体" w:hAnsi="Times New Roman"/>
          <w:color w:val="000000"/>
        </w:rPr>
        <w:t>”</w:t>
      </w:r>
      <w:r w:rsidRPr="008B4628">
        <w:rPr>
          <w:rFonts w:ascii="宋体" w:eastAsia="宋体" w:hAnsi="Times New Roman"/>
          <w:color w:val="000000"/>
        </w:rPr>
        <w:t>。钟律师被IFLR1000-世界领先的金融律师事务所指南杂志从自2011年起的每一期评为在收购兼并领域和私募股权/风险投资领域领先的律师。钟律师主笔了收购兼并评论（The Mergers and Acquisitions Review）第十期的中</w:t>
      </w:r>
      <w:r w:rsidRPr="008B4628">
        <w:rPr>
          <w:rFonts w:ascii="宋体" w:eastAsia="宋体" w:hAnsi="Times New Roman" w:hint="eastAsia"/>
          <w:color w:val="000000"/>
        </w:rPr>
        <w:t>国篇。</w:t>
      </w:r>
      <w:r w:rsidRPr="008B4628">
        <w:rPr>
          <w:rFonts w:ascii="宋体" w:eastAsia="宋体" w:hAnsi="Times New Roman"/>
          <w:color w:val="000000"/>
        </w:rPr>
        <w:t xml:space="preserve"> </w:t>
      </w:r>
    </w:p>
    <w:sectPr w:rsidR="00A46A04" w:rsidRPr="008B46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1536"/>
    <w:multiLevelType w:val="singleLevel"/>
    <w:tmpl w:val="10700A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12424"/>
    <w:multiLevelType w:val="singleLevel"/>
    <w:tmpl w:val="A4DE41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4D5779"/>
    <w:multiLevelType w:val="singleLevel"/>
    <w:tmpl w:val="732033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C1E4C"/>
    <w:multiLevelType w:val="singleLevel"/>
    <w:tmpl w:val="CDF838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D87FB7"/>
    <w:multiLevelType w:val="singleLevel"/>
    <w:tmpl w:val="2B72026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F9246A"/>
    <w:multiLevelType w:val="singleLevel"/>
    <w:tmpl w:val="3E48D0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D0405C"/>
    <w:multiLevelType w:val="singleLevel"/>
    <w:tmpl w:val="2B96A5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19443B"/>
    <w:multiLevelType w:val="singleLevel"/>
    <w:tmpl w:val="760ACED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F70097"/>
    <w:multiLevelType w:val="singleLevel"/>
    <w:tmpl w:val="FEE2C4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285C71"/>
    <w:multiLevelType w:val="singleLevel"/>
    <w:tmpl w:val="D7E4F4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755972"/>
    <w:multiLevelType w:val="singleLevel"/>
    <w:tmpl w:val="5F8E3E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054D18"/>
    <w:multiLevelType w:val="singleLevel"/>
    <w:tmpl w:val="D42AD0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E545D5"/>
    <w:multiLevelType w:val="singleLevel"/>
    <w:tmpl w:val="F404E2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545646"/>
    <w:multiLevelType w:val="singleLevel"/>
    <w:tmpl w:val="E02CA7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050571"/>
    <w:multiLevelType w:val="singleLevel"/>
    <w:tmpl w:val="44028F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774E1B"/>
    <w:multiLevelType w:val="singleLevel"/>
    <w:tmpl w:val="F12CC8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970C93"/>
    <w:multiLevelType w:val="singleLevel"/>
    <w:tmpl w:val="828E09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B52866"/>
    <w:multiLevelType w:val="singleLevel"/>
    <w:tmpl w:val="CAF0F9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EE0339"/>
    <w:multiLevelType w:val="singleLevel"/>
    <w:tmpl w:val="C97639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923F5B"/>
    <w:multiLevelType w:val="singleLevel"/>
    <w:tmpl w:val="77C8A8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6F1A58"/>
    <w:multiLevelType w:val="singleLevel"/>
    <w:tmpl w:val="7DC0A7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A54EEC"/>
    <w:multiLevelType w:val="singleLevel"/>
    <w:tmpl w:val="617409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A626BE"/>
    <w:multiLevelType w:val="singleLevel"/>
    <w:tmpl w:val="7BA4CE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105630"/>
    <w:multiLevelType w:val="singleLevel"/>
    <w:tmpl w:val="391E9A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F70377"/>
    <w:multiLevelType w:val="singleLevel"/>
    <w:tmpl w:val="47201F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88404C"/>
    <w:multiLevelType w:val="singleLevel"/>
    <w:tmpl w:val="DA64BE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BB6221"/>
    <w:multiLevelType w:val="singleLevel"/>
    <w:tmpl w:val="0C20A0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660FA2"/>
    <w:multiLevelType w:val="singleLevel"/>
    <w:tmpl w:val="68C008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504D60"/>
    <w:multiLevelType w:val="singleLevel"/>
    <w:tmpl w:val="9D24E5C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2D0A32"/>
    <w:multiLevelType w:val="singleLevel"/>
    <w:tmpl w:val="1A1CEF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C4064E"/>
    <w:multiLevelType w:val="singleLevel"/>
    <w:tmpl w:val="8B248E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2D3152"/>
    <w:multiLevelType w:val="singleLevel"/>
    <w:tmpl w:val="A4DE41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4167FB"/>
    <w:multiLevelType w:val="singleLevel"/>
    <w:tmpl w:val="54802F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273A24"/>
    <w:multiLevelType w:val="singleLevel"/>
    <w:tmpl w:val="9FC284D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61625B"/>
    <w:multiLevelType w:val="singleLevel"/>
    <w:tmpl w:val="D3727B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171712"/>
    <w:multiLevelType w:val="singleLevel"/>
    <w:tmpl w:val="1650589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DE47B7A"/>
    <w:multiLevelType w:val="singleLevel"/>
    <w:tmpl w:val="A8E02F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4F50CB"/>
    <w:multiLevelType w:val="singleLevel"/>
    <w:tmpl w:val="BFAE05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DF1786"/>
    <w:multiLevelType w:val="singleLevel"/>
    <w:tmpl w:val="A106D6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1B31F2"/>
    <w:multiLevelType w:val="singleLevel"/>
    <w:tmpl w:val="1D7EB65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B93C9A"/>
    <w:multiLevelType w:val="singleLevel"/>
    <w:tmpl w:val="17D0F7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7D12F1A"/>
    <w:multiLevelType w:val="singleLevel"/>
    <w:tmpl w:val="AA0C27D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8D6757"/>
    <w:multiLevelType w:val="singleLevel"/>
    <w:tmpl w:val="F0BAD5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89628F4"/>
    <w:multiLevelType w:val="singleLevel"/>
    <w:tmpl w:val="67EAD76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1931FA"/>
    <w:multiLevelType w:val="singleLevel"/>
    <w:tmpl w:val="D0A4BBD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F367095"/>
    <w:multiLevelType w:val="singleLevel"/>
    <w:tmpl w:val="1FD0D11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F5B7282"/>
    <w:multiLevelType w:val="singleLevel"/>
    <w:tmpl w:val="3B36FF3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F864FDF"/>
    <w:multiLevelType w:val="singleLevel"/>
    <w:tmpl w:val="4EEC0ED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0600E11"/>
    <w:multiLevelType w:val="singleLevel"/>
    <w:tmpl w:val="33F4885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210AC8"/>
    <w:multiLevelType w:val="singleLevel"/>
    <w:tmpl w:val="FCD4FEA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2E25323"/>
    <w:multiLevelType w:val="singleLevel"/>
    <w:tmpl w:val="E686400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39E7B73"/>
    <w:multiLevelType w:val="singleLevel"/>
    <w:tmpl w:val="EDFEE21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3E120D"/>
    <w:multiLevelType w:val="singleLevel"/>
    <w:tmpl w:val="C3C0470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A9230AF"/>
    <w:multiLevelType w:val="singleLevel"/>
    <w:tmpl w:val="15B4EB6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154CE8"/>
    <w:multiLevelType w:val="singleLevel"/>
    <w:tmpl w:val="CE00692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E94796C"/>
    <w:multiLevelType w:val="singleLevel"/>
    <w:tmpl w:val="8C5AC37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B65B64"/>
    <w:multiLevelType w:val="singleLevel"/>
    <w:tmpl w:val="A2B2FDB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2405D1D"/>
    <w:multiLevelType w:val="singleLevel"/>
    <w:tmpl w:val="E36AF99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27D7D79"/>
    <w:multiLevelType w:val="singleLevel"/>
    <w:tmpl w:val="1A4648B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39A1BE4"/>
    <w:multiLevelType w:val="singleLevel"/>
    <w:tmpl w:val="BFE2F04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5C85778"/>
    <w:multiLevelType w:val="singleLevel"/>
    <w:tmpl w:val="8482F97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C9E7D1D"/>
    <w:multiLevelType w:val="singleLevel"/>
    <w:tmpl w:val="3344292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E6B184B"/>
    <w:multiLevelType w:val="singleLevel"/>
    <w:tmpl w:val="F0405060"/>
    <w:lvl w:ilvl="0">
      <w:start w:val="1"/>
      <w:numFmt w:val="bullet"/>
      <w:lvlText w:val=""/>
      <w:lvlJc w:val="left"/>
      <w:pPr>
        <w:tabs>
          <w:tab w:val="num" w:pos="200"/>
        </w:tabs>
        <w:ind w:left="200" w:hanging="200"/>
      </w:pPr>
      <w:rPr>
        <w:rFonts w:ascii="Wingdings" w:hAnsi="Wingdings" w:hint="default"/>
        <w:sz w:val="16"/>
      </w:rPr>
    </w:lvl>
  </w:abstractNum>
  <w:num w:numId="1">
    <w:abstractNumId w:val="46"/>
  </w:num>
  <w:num w:numId="2">
    <w:abstractNumId w:val="34"/>
  </w:num>
  <w:num w:numId="3">
    <w:abstractNumId w:val="41"/>
  </w:num>
  <w:num w:numId="4">
    <w:abstractNumId w:val="18"/>
  </w:num>
  <w:num w:numId="5">
    <w:abstractNumId w:val="6"/>
  </w:num>
  <w:num w:numId="6">
    <w:abstractNumId w:val="5"/>
  </w:num>
  <w:num w:numId="7">
    <w:abstractNumId w:val="33"/>
  </w:num>
  <w:num w:numId="8">
    <w:abstractNumId w:val="27"/>
  </w:num>
  <w:num w:numId="9">
    <w:abstractNumId w:val="22"/>
  </w:num>
  <w:num w:numId="10">
    <w:abstractNumId w:val="45"/>
  </w:num>
  <w:num w:numId="11">
    <w:abstractNumId w:val="8"/>
  </w:num>
  <w:num w:numId="12">
    <w:abstractNumId w:val="62"/>
  </w:num>
  <w:num w:numId="13">
    <w:abstractNumId w:val="52"/>
  </w:num>
  <w:num w:numId="14">
    <w:abstractNumId w:val="39"/>
  </w:num>
  <w:num w:numId="15">
    <w:abstractNumId w:val="47"/>
  </w:num>
  <w:num w:numId="16">
    <w:abstractNumId w:val="23"/>
  </w:num>
  <w:num w:numId="17">
    <w:abstractNumId w:val="10"/>
  </w:num>
  <w:num w:numId="18">
    <w:abstractNumId w:val="9"/>
  </w:num>
  <w:num w:numId="19">
    <w:abstractNumId w:val="17"/>
  </w:num>
  <w:num w:numId="20">
    <w:abstractNumId w:val="32"/>
  </w:num>
  <w:num w:numId="21">
    <w:abstractNumId w:val="7"/>
  </w:num>
  <w:num w:numId="22">
    <w:abstractNumId w:val="12"/>
  </w:num>
  <w:num w:numId="23">
    <w:abstractNumId w:val="56"/>
  </w:num>
  <w:num w:numId="24">
    <w:abstractNumId w:val="30"/>
  </w:num>
  <w:num w:numId="25">
    <w:abstractNumId w:val="55"/>
  </w:num>
  <w:num w:numId="26">
    <w:abstractNumId w:val="26"/>
  </w:num>
  <w:num w:numId="27">
    <w:abstractNumId w:val="53"/>
  </w:num>
  <w:num w:numId="28">
    <w:abstractNumId w:val="19"/>
  </w:num>
  <w:num w:numId="29">
    <w:abstractNumId w:val="20"/>
  </w:num>
  <w:num w:numId="30">
    <w:abstractNumId w:val="61"/>
  </w:num>
  <w:num w:numId="31">
    <w:abstractNumId w:val="4"/>
  </w:num>
  <w:num w:numId="32">
    <w:abstractNumId w:val="60"/>
  </w:num>
  <w:num w:numId="33">
    <w:abstractNumId w:val="15"/>
  </w:num>
  <w:num w:numId="34">
    <w:abstractNumId w:val="48"/>
  </w:num>
  <w:num w:numId="35">
    <w:abstractNumId w:val="14"/>
  </w:num>
  <w:num w:numId="36">
    <w:abstractNumId w:val="35"/>
  </w:num>
  <w:num w:numId="37">
    <w:abstractNumId w:val="44"/>
  </w:num>
  <w:num w:numId="38">
    <w:abstractNumId w:val="43"/>
  </w:num>
  <w:num w:numId="39">
    <w:abstractNumId w:val="21"/>
  </w:num>
  <w:num w:numId="40">
    <w:abstractNumId w:val="40"/>
  </w:num>
  <w:num w:numId="41">
    <w:abstractNumId w:val="29"/>
  </w:num>
  <w:num w:numId="42">
    <w:abstractNumId w:val="36"/>
  </w:num>
  <w:num w:numId="43">
    <w:abstractNumId w:val="13"/>
  </w:num>
  <w:num w:numId="44">
    <w:abstractNumId w:val="16"/>
  </w:num>
  <w:num w:numId="45">
    <w:abstractNumId w:val="42"/>
  </w:num>
  <w:num w:numId="46">
    <w:abstractNumId w:val="51"/>
  </w:num>
  <w:num w:numId="47">
    <w:abstractNumId w:val="54"/>
  </w:num>
  <w:num w:numId="48">
    <w:abstractNumId w:val="49"/>
  </w:num>
  <w:num w:numId="49">
    <w:abstractNumId w:val="57"/>
  </w:num>
  <w:num w:numId="50">
    <w:abstractNumId w:val="37"/>
  </w:num>
  <w:num w:numId="51">
    <w:abstractNumId w:val="38"/>
  </w:num>
  <w:num w:numId="52">
    <w:abstractNumId w:val="59"/>
  </w:num>
  <w:num w:numId="53">
    <w:abstractNumId w:val="0"/>
  </w:num>
  <w:num w:numId="54">
    <w:abstractNumId w:val="3"/>
  </w:num>
  <w:num w:numId="55">
    <w:abstractNumId w:val="28"/>
  </w:num>
  <w:num w:numId="56">
    <w:abstractNumId w:val="25"/>
  </w:num>
  <w:num w:numId="57">
    <w:abstractNumId w:val="50"/>
  </w:num>
  <w:num w:numId="58">
    <w:abstractNumId w:val="58"/>
  </w:num>
  <w:num w:numId="59">
    <w:abstractNumId w:val="11"/>
  </w:num>
  <w:num w:numId="60">
    <w:abstractNumId w:val="24"/>
  </w:num>
  <w:num w:numId="61">
    <w:abstractNumId w:val="2"/>
  </w:num>
  <w:num w:numId="62">
    <w:abstractNumId w:val="1"/>
  </w:num>
  <w:num w:numId="63">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B4628"/>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4628"/>
    <w:pPr>
      <w:spacing w:after="120"/>
    </w:pPr>
  </w:style>
  <w:style w:type="character" w:customStyle="1" w:styleId="af6">
    <w:name w:val="正文文本 字符"/>
    <w:basedOn w:val="a0"/>
    <w:link w:val="af5"/>
    <w:uiPriority w:val="99"/>
    <w:rsid w:val="008B46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C079F-232C-4738-8044-3212AE789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658</Words>
  <Characters>3752</Characters>
  <Application>Microsoft Office Word</Application>
  <DocSecurity>0</DocSecurity>
  <Lines>31</Lines>
  <Paragraphs>8</Paragraphs>
  <ScaleCrop>false</ScaleCrop>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2026-08-22T00:50:00Z</dcterms:created>
  <dcterms:modified xsi:type="dcterms:W3CDTF">2026-08-22T00:50:00Z</dcterms:modified>
</cp:coreProperties>
</file>