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EA4CDB1" w:rsidR="0049405C" w:rsidRPr="00187BAA" w:rsidRDefault="00716C53" w:rsidP="00716C5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716C53">
              <w:rPr>
                <w:rFonts w:ascii="宋体" w:eastAsia="宋体" w:hAnsi="Times New Roman" w:hint="eastAsia"/>
                <w:b/>
                <w:color w:val="000000"/>
                <w:sz w:val="48"/>
              </w:rPr>
              <w:t>王颖婕</w:t>
            </w:r>
            <w:bookmarkEnd w:id="0"/>
          </w:p>
          <w:p w14:paraId="706EB16B" w14:textId="3373BAB8" w:rsidR="0049405C" w:rsidRPr="00187BAA" w:rsidRDefault="00716C53" w:rsidP="00716C5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716C53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79CF0041" w:rsidR="0049405C" w:rsidRPr="00187BAA" w:rsidRDefault="00716C53" w:rsidP="00716C5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716C53">
              <w:rPr>
                <w:rFonts w:ascii="宋体" w:eastAsia="宋体" w:hAnsi="Times New Roman"/>
                <w:color w:val="000000"/>
              </w:rPr>
              <w:t xml:space="preserve">+86 10 5769 5600 </w:t>
            </w:r>
            <w:bookmarkEnd w:id="3"/>
          </w:p>
          <w:p w14:paraId="4F910ACA" w14:textId="1549AE88" w:rsidR="0049405C" w:rsidRPr="00187BAA" w:rsidRDefault="00716C53" w:rsidP="00716C5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716C53">
              <w:rPr>
                <w:rFonts w:ascii="宋体" w:eastAsia="宋体" w:hAnsi="Times New Roman"/>
                <w:color w:val="000000"/>
              </w:rPr>
              <w:t>Yingjie.wang@fangdalaw.com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9A2B935" w:rsidR="0049405C" w:rsidRPr="00187BAA" w:rsidRDefault="00716C5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2A80E42" wp14:editId="191867C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46B9670E" w:rsidR="009465FB" w:rsidRPr="00187BAA" w:rsidRDefault="00716C5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716C53">
              <w:rPr>
                <w:rFonts w:ascii="宋体" w:eastAsia="宋体" w:hAnsi="Times New Roman" w:hint="eastAsia"/>
                <w:color w:val="000000"/>
                <w:szCs w:val="21"/>
              </w:rPr>
              <w:t>王颖婕律师的主要执业领域为收购与兼并、资本市场、外商直接投资和公司一般法律事务。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6BA7B0C" w14:textId="77777777" w:rsidR="00716C5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7491686" w14:textId="77777777" w:rsidR="00716C53" w:rsidRDefault="00716C53" w:rsidP="00716C5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16C53">
        <w:rPr>
          <w:rFonts w:ascii="宋体" w:eastAsia="宋体" w:hAnsi="宋体" w:hint="eastAsia"/>
          <w:b/>
          <w:sz w:val="24"/>
        </w:rPr>
        <w:t>近期代理的主要案件</w:t>
      </w:r>
    </w:p>
    <w:p w14:paraId="1DAA42EB" w14:textId="77777777" w:rsidR="00716C53" w:rsidRDefault="00716C53" w:rsidP="00716C53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2EEFED71" w14:textId="77777777" w:rsidR="00716C53" w:rsidRDefault="00716C53" w:rsidP="00716C5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代表阿里巴巴多个合资项目，包括与一家安全类高科技公司成立合资公司，与地方政府组建政府采购平台合资公司，与一家电信运营商成立合资公司等</w:t>
      </w:r>
    </w:p>
    <w:p w14:paraId="045F5AD0" w14:textId="77777777" w:rsidR="00716C53" w:rsidRDefault="00716C53" w:rsidP="00716C5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代表阿里巴巴多个战略投资项目，包括收购杭州端点公司控股权，收购上海百胜公司控股权，对大连龙图进行股权投资，向中兴通讯收购其一家集成服务子公司控股权等</w:t>
      </w:r>
    </w:p>
    <w:p w14:paraId="3A77B594" w14:textId="77777777" w:rsidR="00716C53" w:rsidRDefault="00716C53" w:rsidP="00716C5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代表阿里影业参与其多个投资项目，包括对多家影视公司进行股权投资，对一家话剧制作公司进行股权投资，对一家影视公司提供借款并开展业务合作等</w:t>
      </w:r>
    </w:p>
    <w:p w14:paraId="6BED5427" w14:textId="77777777" w:rsidR="00716C53" w:rsidRDefault="00716C53" w:rsidP="00716C5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代表蚂蚁金服参与其多个股权投资项目</w:t>
      </w:r>
    </w:p>
    <w:p w14:paraId="3AF04504" w14:textId="77777777" w:rsidR="00716C53" w:rsidRDefault="00716C53" w:rsidP="00716C5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代表中国移动投资公司参与其对青牛软件、优刻得云服务、海天瑞声、</w:t>
      </w:r>
      <w:r w:rsidRPr="00716C53">
        <w:rPr>
          <w:rFonts w:ascii="宋体" w:eastAsia="宋体" w:hAnsi="Times New Roman"/>
          <w:color w:val="000000"/>
        </w:rPr>
        <w:t>Nolo、一家网络文学、一家芯片研发企业的股权投资等多个项目</w:t>
      </w:r>
    </w:p>
    <w:p w14:paraId="131C41E7" w14:textId="77777777" w:rsidR="00716C53" w:rsidRDefault="00716C53" w:rsidP="00716C5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代表华润维麟多个股权投资项目，包括收购成都地区和重庆地区领先的养老机构控股权，并为华润维麟提供常年法律服务</w:t>
      </w:r>
    </w:p>
    <w:p w14:paraId="1E1A99C7" w14:textId="77777777" w:rsidR="00716C53" w:rsidRDefault="00716C53" w:rsidP="00716C5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代表药明康德参与其多个战略投资项目</w:t>
      </w:r>
    </w:p>
    <w:p w14:paraId="65E279D7" w14:textId="77777777" w:rsidR="00716C53" w:rsidRDefault="00716C53" w:rsidP="00716C5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代表中金科元基金、中金启辰基金多个股权投资项目</w:t>
      </w:r>
    </w:p>
    <w:p w14:paraId="76DA799F" w14:textId="77777777" w:rsidR="00716C53" w:rsidRDefault="00716C53" w:rsidP="00716C5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代表赛富基金在</w:t>
      </w:r>
      <w:r w:rsidRPr="00716C53">
        <w:rPr>
          <w:rFonts w:ascii="宋体" w:eastAsia="宋体" w:hAnsi="Times New Roman"/>
          <w:color w:val="000000"/>
        </w:rPr>
        <w:t>TMT、消费品和先进制造等领域的多个股权投资项目</w:t>
      </w:r>
    </w:p>
    <w:p w14:paraId="5B3F9A12" w14:textId="77777777" w:rsidR="00716C53" w:rsidRDefault="00716C53" w:rsidP="00716C5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代表百度风投在</w:t>
      </w:r>
      <w:r w:rsidRPr="00716C53">
        <w:rPr>
          <w:rFonts w:ascii="宋体" w:eastAsia="宋体" w:hAnsi="Times New Roman"/>
          <w:color w:val="000000"/>
        </w:rPr>
        <w:t>AI和TMT领域的多个股权投资项目</w:t>
      </w:r>
    </w:p>
    <w:p w14:paraId="7C707E0D" w14:textId="77777777" w:rsidR="00716C53" w:rsidRDefault="00716C53" w:rsidP="00716C5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代表金镒资本多个</w:t>
      </w:r>
      <w:r w:rsidRPr="00716C53">
        <w:rPr>
          <w:rFonts w:ascii="宋体" w:eastAsia="宋体" w:hAnsi="Times New Roman"/>
          <w:color w:val="000000"/>
        </w:rPr>
        <w:t>Pre-IPO股权投资项目</w:t>
      </w:r>
    </w:p>
    <w:p w14:paraId="6A177A94" w14:textId="77777777" w:rsidR="00716C53" w:rsidRDefault="00716C53" w:rsidP="00716C5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代表智联招聘参与其多个股权投资和战略投资项目</w:t>
      </w:r>
    </w:p>
    <w:p w14:paraId="468C2CBF" w14:textId="77777777" w:rsidR="00716C53" w:rsidRDefault="00716C53" w:rsidP="00716C5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代表蛋壳公寓进行</w:t>
      </w:r>
      <w:r w:rsidRPr="00716C53">
        <w:rPr>
          <w:rFonts w:ascii="宋体" w:eastAsia="宋体" w:hAnsi="Times New Roman"/>
          <w:color w:val="000000"/>
        </w:rPr>
        <w:t>B轮融资，并在其后参与其多个股权收购项目并提供常年法律服务</w:t>
      </w:r>
    </w:p>
    <w:p w14:paraId="2E737472" w14:textId="77777777" w:rsidR="00716C53" w:rsidRDefault="00716C53" w:rsidP="00716C5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</w:t>
      </w:r>
      <w:r w:rsidRPr="00716C53">
        <w:rPr>
          <w:rFonts w:ascii="宋体" w:eastAsia="宋体" w:hAnsi="Times New Roman"/>
          <w:color w:val="000000"/>
        </w:rPr>
        <w:t>TPG参与私有化美国上市公司和睦家医院项目，为和睦家医院提供常年法律服务</w:t>
      </w:r>
    </w:p>
    <w:p w14:paraId="2D111346" w14:textId="77777777" w:rsidR="00716C53" w:rsidRDefault="00716C53" w:rsidP="00716C5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代表意大利上市公司</w:t>
      </w:r>
      <w:r w:rsidRPr="00716C53">
        <w:rPr>
          <w:rFonts w:ascii="宋体" w:eastAsia="宋体" w:hAnsi="Times New Roman"/>
          <w:color w:val="000000"/>
        </w:rPr>
        <w:t>Brembo参与其对一家汽车制动片生产企业的外方股权的收购</w:t>
      </w:r>
    </w:p>
    <w:p w14:paraId="63740034" w14:textId="77777777" w:rsidR="00716C53" w:rsidRDefault="00716C53" w:rsidP="00716C53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代表中联重科多个股权投资项目，包括与一家德国领先的机械制造企业成立合资公司，收购一家意大利农机企业股权，对蒙古国一家公司进行股权投资等</w:t>
      </w:r>
    </w:p>
    <w:p w14:paraId="260FA608" w14:textId="77777777" w:rsidR="00716C53" w:rsidRDefault="00716C53" w:rsidP="00716C53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代表中信资本和博裕资本参与其拟对凤凰医疗的股权投资项目</w:t>
      </w:r>
    </w:p>
    <w:p w14:paraId="54B34A3E" w14:textId="77777777" w:rsidR="00716C53" w:rsidRDefault="00716C53" w:rsidP="00716C53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代表鼎晖资本参与其多个医疗服务行业股权投资项目</w:t>
      </w:r>
    </w:p>
    <w:p w14:paraId="34E89702" w14:textId="77777777" w:rsidR="00716C53" w:rsidRDefault="00716C53" w:rsidP="00716C53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代表高盛</w:t>
      </w:r>
      <w:r w:rsidRPr="00716C53">
        <w:rPr>
          <w:rFonts w:ascii="宋体" w:eastAsia="宋体" w:hAnsi="Times New Roman"/>
          <w:color w:val="000000"/>
        </w:rPr>
        <w:t>PIA对一家医疗器械生产企业的股权投资项目</w:t>
      </w:r>
    </w:p>
    <w:p w14:paraId="2E707445" w14:textId="77777777" w:rsidR="00716C53" w:rsidRDefault="00716C53" w:rsidP="00716C53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代表北京国管中心参与其对北京友谊医院的</w:t>
      </w:r>
      <w:r w:rsidRPr="00716C53">
        <w:rPr>
          <w:rFonts w:ascii="宋体" w:eastAsia="宋体" w:hAnsi="Times New Roman"/>
          <w:color w:val="000000"/>
        </w:rPr>
        <w:t>PPP投资项目</w:t>
      </w:r>
    </w:p>
    <w:p w14:paraId="1EAA0012" w14:textId="77777777" w:rsidR="00716C53" w:rsidRDefault="00716C53" w:rsidP="00716C53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代表高盛和淡马锡参与其对爱康体检的股权投资项目</w:t>
      </w:r>
    </w:p>
    <w:p w14:paraId="58E30796" w14:textId="77777777" w:rsidR="00716C53" w:rsidRDefault="00716C53" w:rsidP="00716C53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代表高瓴资本参与其对医疗行业投资项目</w:t>
      </w:r>
    </w:p>
    <w:p w14:paraId="0069E6EF" w14:textId="77777777" w:rsidR="00716C53" w:rsidRDefault="00716C53" w:rsidP="00716C53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代表云锋基金参与其对中国医疗器械的潜在战略投资项目</w:t>
      </w:r>
    </w:p>
    <w:p w14:paraId="412C989A" w14:textId="77777777" w:rsidR="00716C53" w:rsidRDefault="00716C53" w:rsidP="00716C53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</w:t>
      </w:r>
      <w:r w:rsidRPr="00716C53">
        <w:rPr>
          <w:rFonts w:ascii="宋体" w:eastAsia="宋体" w:hAnsi="Times New Roman"/>
          <w:color w:val="000000"/>
        </w:rPr>
        <w:t>EQT参与其对重庆沁园食品的控股权收购及其后续的股权出售项目</w:t>
      </w:r>
    </w:p>
    <w:p w14:paraId="2E6FAE16" w14:textId="77777777" w:rsidR="00716C53" w:rsidRDefault="00716C53" w:rsidP="00716C53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</w:t>
      </w:r>
      <w:r w:rsidRPr="00716C53">
        <w:rPr>
          <w:rFonts w:ascii="宋体" w:eastAsia="宋体" w:hAnsi="Times New Roman"/>
          <w:color w:val="000000"/>
        </w:rPr>
        <w:t>EQT参与其多个餐饮、消费品和医疗行业股权投资和股权出售项目</w:t>
      </w:r>
    </w:p>
    <w:p w14:paraId="7F676B6D" w14:textId="77777777" w:rsidR="00716C53" w:rsidRDefault="00716C53" w:rsidP="00716C53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</w:t>
      </w:r>
      <w:r w:rsidRPr="00716C53">
        <w:rPr>
          <w:rFonts w:ascii="宋体" w:eastAsia="宋体" w:hAnsi="Times New Roman"/>
          <w:color w:val="000000"/>
        </w:rPr>
        <w:t>Unitas Capital参与其多个消费品和餐饮行业股权投资项目，包括其对广东嘉豪食品的控股权收购及其后续股权出售项目</w:t>
      </w:r>
    </w:p>
    <w:p w14:paraId="116E6550" w14:textId="77777777" w:rsidR="00716C53" w:rsidRDefault="00716C53" w:rsidP="00716C53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</w:t>
      </w:r>
      <w:r w:rsidRPr="00716C53">
        <w:rPr>
          <w:rFonts w:ascii="宋体" w:eastAsia="宋体" w:hAnsi="Times New Roman"/>
          <w:color w:val="000000"/>
        </w:rPr>
        <w:t>DST参与其对小米手机股权投资项目</w:t>
      </w:r>
    </w:p>
    <w:p w14:paraId="7211F77F" w14:textId="77777777" w:rsidR="00716C53" w:rsidRDefault="00716C53" w:rsidP="00716C53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代表今日资本参与其多个</w:t>
      </w:r>
      <w:r w:rsidRPr="00716C53">
        <w:rPr>
          <w:rFonts w:ascii="宋体" w:eastAsia="宋体" w:hAnsi="Times New Roman"/>
          <w:color w:val="000000"/>
        </w:rPr>
        <w:t>TMT和消费品行业股权投资项目</w:t>
      </w:r>
    </w:p>
    <w:p w14:paraId="06384901" w14:textId="77777777" w:rsidR="00716C53" w:rsidRDefault="00716C53" w:rsidP="00716C53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代表红杉资本参与其多个医药行业、</w:t>
      </w:r>
      <w:r w:rsidRPr="00716C53">
        <w:rPr>
          <w:rFonts w:ascii="宋体" w:eastAsia="宋体" w:hAnsi="Times New Roman"/>
          <w:color w:val="000000"/>
        </w:rPr>
        <w:t>TMT行业股权投资项目</w:t>
      </w:r>
    </w:p>
    <w:p w14:paraId="3C285291" w14:textId="77777777" w:rsidR="00716C53" w:rsidRDefault="00716C53" w:rsidP="00716C53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代表弘毅资本参与其餐饮行业股权投资项目</w:t>
      </w:r>
    </w:p>
    <w:p w14:paraId="38FD2D94" w14:textId="77777777" w:rsidR="00716C53" w:rsidRDefault="00716C53" w:rsidP="00716C53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</w:t>
      </w:r>
      <w:r w:rsidRPr="00716C53">
        <w:rPr>
          <w:rFonts w:ascii="宋体" w:eastAsia="宋体" w:hAnsi="Times New Roman"/>
          <w:color w:val="000000"/>
        </w:rPr>
        <w:t>IDG参与其TMT行业股权投资项目</w:t>
      </w:r>
    </w:p>
    <w:p w14:paraId="19094197" w14:textId="77777777" w:rsidR="00716C53" w:rsidRDefault="00716C53" w:rsidP="00716C53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代表旅游网站蚂蜂窝进行</w:t>
      </w:r>
      <w:r w:rsidRPr="00716C53">
        <w:rPr>
          <w:rFonts w:ascii="宋体" w:eastAsia="宋体" w:hAnsi="Times New Roman"/>
          <w:color w:val="000000"/>
        </w:rPr>
        <w:t>B轮融资</w:t>
      </w:r>
    </w:p>
    <w:p w14:paraId="68342E2E" w14:textId="77777777" w:rsidR="00716C53" w:rsidRDefault="00716C53" w:rsidP="00716C53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代表中金黄金参与其在香港联交所上市项目</w:t>
      </w:r>
    </w:p>
    <w:p w14:paraId="761D4146" w14:textId="77777777" w:rsidR="00716C53" w:rsidRDefault="00716C53" w:rsidP="00716C53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代表光大控股、中金资本、赟汇资本、高和资本、洪泰资本等多个投资人发起设立人民币基金</w:t>
      </w:r>
    </w:p>
    <w:p w14:paraId="4C92F82A" w14:textId="77777777" w:rsidR="00716C53" w:rsidRDefault="00716C53" w:rsidP="00716C5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16C53">
        <w:rPr>
          <w:rFonts w:ascii="宋体" w:eastAsia="宋体" w:hAnsi="宋体" w:hint="eastAsia"/>
          <w:b/>
          <w:sz w:val="24"/>
        </w:rPr>
        <w:t>教育背景</w:t>
      </w:r>
    </w:p>
    <w:p w14:paraId="1984ACDE" w14:textId="77777777" w:rsidR="00716C53" w:rsidRDefault="00716C53" w:rsidP="00716C53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浙江大学，法学学士</w:t>
      </w:r>
    </w:p>
    <w:p w14:paraId="7797508A" w14:textId="77777777" w:rsidR="00716C53" w:rsidRDefault="00716C53" w:rsidP="00716C53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清华大学，民商法学硕士</w:t>
      </w:r>
    </w:p>
    <w:p w14:paraId="5DBF34CA" w14:textId="77777777" w:rsidR="00716C53" w:rsidRDefault="00716C53" w:rsidP="00716C5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16C53">
        <w:rPr>
          <w:rFonts w:ascii="宋体" w:eastAsia="宋体" w:hAnsi="宋体" w:hint="eastAsia"/>
          <w:b/>
          <w:sz w:val="24"/>
        </w:rPr>
        <w:t>执业资格</w:t>
      </w:r>
    </w:p>
    <w:p w14:paraId="68C5A2D6" w14:textId="77777777" w:rsidR="00716C53" w:rsidRDefault="00716C53" w:rsidP="00716C53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中华人民共和国执业律师</w:t>
      </w:r>
    </w:p>
    <w:p w14:paraId="0CBBB471" w14:textId="77777777" w:rsidR="00716C53" w:rsidRDefault="00716C53" w:rsidP="00716C5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16C53">
        <w:rPr>
          <w:rFonts w:ascii="宋体" w:eastAsia="宋体" w:hAnsi="宋体" w:hint="eastAsia"/>
          <w:b/>
          <w:sz w:val="24"/>
        </w:rPr>
        <w:t>职业背景</w:t>
      </w:r>
    </w:p>
    <w:p w14:paraId="4F0A196B" w14:textId="3B22600C" w:rsidR="00A46A04" w:rsidRPr="00716C53" w:rsidRDefault="00716C53" w:rsidP="00716C53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16C53">
        <w:rPr>
          <w:rFonts w:ascii="宋体" w:eastAsia="宋体" w:hAnsi="Times New Roman" w:hint="eastAsia"/>
          <w:color w:val="000000"/>
        </w:rPr>
        <w:t>在</w:t>
      </w:r>
      <w:r w:rsidRPr="00716C53">
        <w:rPr>
          <w:rFonts w:ascii="宋体" w:eastAsia="宋体" w:hAnsi="Times New Roman"/>
          <w:color w:val="000000"/>
        </w:rPr>
        <w:t>2012年3月加入方达律师事务所之前，王律师曾就职于北京市海问律师事务所（2008年7月至2012年3月）。</w:t>
      </w:r>
    </w:p>
    <w:sectPr w:rsidR="00A46A04" w:rsidRPr="00716C5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37AB6"/>
    <w:multiLevelType w:val="singleLevel"/>
    <w:tmpl w:val="BA0E58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6964D1D"/>
    <w:multiLevelType w:val="singleLevel"/>
    <w:tmpl w:val="034CED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9A78C1"/>
    <w:multiLevelType w:val="singleLevel"/>
    <w:tmpl w:val="4F34E6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7306DCE"/>
    <w:multiLevelType w:val="singleLevel"/>
    <w:tmpl w:val="5740B8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7D40258"/>
    <w:multiLevelType w:val="singleLevel"/>
    <w:tmpl w:val="D6CCD6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9135C4D"/>
    <w:multiLevelType w:val="singleLevel"/>
    <w:tmpl w:val="619611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C194DE0"/>
    <w:multiLevelType w:val="singleLevel"/>
    <w:tmpl w:val="782CC9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B025628"/>
    <w:multiLevelType w:val="singleLevel"/>
    <w:tmpl w:val="A3BAA7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2751A60"/>
    <w:multiLevelType w:val="singleLevel"/>
    <w:tmpl w:val="11EE1C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B552705"/>
    <w:multiLevelType w:val="singleLevel"/>
    <w:tmpl w:val="107A94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1C75707"/>
    <w:multiLevelType w:val="singleLevel"/>
    <w:tmpl w:val="60E24A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8EE41F6"/>
    <w:multiLevelType w:val="singleLevel"/>
    <w:tmpl w:val="74322D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98B406B"/>
    <w:multiLevelType w:val="singleLevel"/>
    <w:tmpl w:val="F96059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BF605C8"/>
    <w:multiLevelType w:val="singleLevel"/>
    <w:tmpl w:val="A98CE8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D650703"/>
    <w:multiLevelType w:val="singleLevel"/>
    <w:tmpl w:val="2062A2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E9B0B8C"/>
    <w:multiLevelType w:val="singleLevel"/>
    <w:tmpl w:val="D1682E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03621D7"/>
    <w:multiLevelType w:val="singleLevel"/>
    <w:tmpl w:val="CDC244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05672CF"/>
    <w:multiLevelType w:val="singleLevel"/>
    <w:tmpl w:val="7FAA31A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45C43ED"/>
    <w:multiLevelType w:val="singleLevel"/>
    <w:tmpl w:val="F69A1B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CF1057B"/>
    <w:multiLevelType w:val="singleLevel"/>
    <w:tmpl w:val="3DFA0B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D55702F"/>
    <w:multiLevelType w:val="singleLevel"/>
    <w:tmpl w:val="A7088E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0894EED"/>
    <w:multiLevelType w:val="singleLevel"/>
    <w:tmpl w:val="63FA0A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0B43D38"/>
    <w:multiLevelType w:val="singleLevel"/>
    <w:tmpl w:val="F196AB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0CA15EE"/>
    <w:multiLevelType w:val="singleLevel"/>
    <w:tmpl w:val="F82A22B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3274E6D"/>
    <w:multiLevelType w:val="singleLevel"/>
    <w:tmpl w:val="347E41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5921502"/>
    <w:multiLevelType w:val="singleLevel"/>
    <w:tmpl w:val="5D6AFD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560C4E1F"/>
    <w:multiLevelType w:val="singleLevel"/>
    <w:tmpl w:val="EE3650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5DB8191C"/>
    <w:multiLevelType w:val="singleLevel"/>
    <w:tmpl w:val="C71E52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60C242DB"/>
    <w:multiLevelType w:val="singleLevel"/>
    <w:tmpl w:val="E3E099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62A81F3D"/>
    <w:multiLevelType w:val="singleLevel"/>
    <w:tmpl w:val="A1E66E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64F26CEB"/>
    <w:multiLevelType w:val="singleLevel"/>
    <w:tmpl w:val="23E696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69693EA0"/>
    <w:multiLevelType w:val="singleLevel"/>
    <w:tmpl w:val="9C3883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69913CED"/>
    <w:multiLevelType w:val="singleLevel"/>
    <w:tmpl w:val="A60455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6C210073"/>
    <w:multiLevelType w:val="singleLevel"/>
    <w:tmpl w:val="6E7E49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72324031"/>
    <w:multiLevelType w:val="singleLevel"/>
    <w:tmpl w:val="E0E414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734A22B4"/>
    <w:multiLevelType w:val="singleLevel"/>
    <w:tmpl w:val="E056EE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73611AAC"/>
    <w:multiLevelType w:val="singleLevel"/>
    <w:tmpl w:val="619611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76EA412A"/>
    <w:multiLevelType w:val="singleLevel"/>
    <w:tmpl w:val="DA64D9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7CF51151"/>
    <w:multiLevelType w:val="singleLevel"/>
    <w:tmpl w:val="D1B6DA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4"/>
  </w:num>
  <w:num w:numId="3">
    <w:abstractNumId w:val="27"/>
  </w:num>
  <w:num w:numId="4">
    <w:abstractNumId w:val="3"/>
  </w:num>
  <w:num w:numId="5">
    <w:abstractNumId w:val="24"/>
  </w:num>
  <w:num w:numId="6">
    <w:abstractNumId w:val="13"/>
  </w:num>
  <w:num w:numId="7">
    <w:abstractNumId w:val="28"/>
  </w:num>
  <w:num w:numId="8">
    <w:abstractNumId w:val="16"/>
  </w:num>
  <w:num w:numId="9">
    <w:abstractNumId w:val="0"/>
  </w:num>
  <w:num w:numId="10">
    <w:abstractNumId w:val="12"/>
  </w:num>
  <w:num w:numId="11">
    <w:abstractNumId w:val="39"/>
  </w:num>
  <w:num w:numId="12">
    <w:abstractNumId w:val="29"/>
  </w:num>
  <w:num w:numId="13">
    <w:abstractNumId w:val="35"/>
  </w:num>
  <w:num w:numId="14">
    <w:abstractNumId w:val="17"/>
  </w:num>
  <w:num w:numId="15">
    <w:abstractNumId w:val="34"/>
  </w:num>
  <w:num w:numId="16">
    <w:abstractNumId w:val="20"/>
  </w:num>
  <w:num w:numId="17">
    <w:abstractNumId w:val="9"/>
  </w:num>
  <w:num w:numId="18">
    <w:abstractNumId w:val="32"/>
  </w:num>
  <w:num w:numId="19">
    <w:abstractNumId w:val="6"/>
  </w:num>
  <w:num w:numId="20">
    <w:abstractNumId w:val="33"/>
  </w:num>
  <w:num w:numId="21">
    <w:abstractNumId w:val="4"/>
  </w:num>
  <w:num w:numId="22">
    <w:abstractNumId w:val="25"/>
  </w:num>
  <w:num w:numId="23">
    <w:abstractNumId w:val="40"/>
  </w:num>
  <w:num w:numId="24">
    <w:abstractNumId w:val="7"/>
  </w:num>
  <w:num w:numId="25">
    <w:abstractNumId w:val="15"/>
  </w:num>
  <w:num w:numId="26">
    <w:abstractNumId w:val="11"/>
  </w:num>
  <w:num w:numId="27">
    <w:abstractNumId w:val="37"/>
  </w:num>
  <w:num w:numId="28">
    <w:abstractNumId w:val="2"/>
  </w:num>
  <w:num w:numId="29">
    <w:abstractNumId w:val="1"/>
  </w:num>
  <w:num w:numId="30">
    <w:abstractNumId w:val="18"/>
  </w:num>
  <w:num w:numId="31">
    <w:abstractNumId w:val="22"/>
  </w:num>
  <w:num w:numId="32">
    <w:abstractNumId w:val="19"/>
  </w:num>
  <w:num w:numId="33">
    <w:abstractNumId w:val="26"/>
  </w:num>
  <w:num w:numId="34">
    <w:abstractNumId w:val="31"/>
  </w:num>
  <w:num w:numId="35">
    <w:abstractNumId w:val="23"/>
  </w:num>
  <w:num w:numId="36">
    <w:abstractNumId w:val="8"/>
  </w:num>
  <w:num w:numId="37">
    <w:abstractNumId w:val="30"/>
  </w:num>
  <w:num w:numId="38">
    <w:abstractNumId w:val="21"/>
  </w:num>
  <w:num w:numId="39">
    <w:abstractNumId w:val="36"/>
  </w:num>
  <w:num w:numId="40">
    <w:abstractNumId w:val="38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6C53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16C5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16C5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F0223F7-1EE0-446C-BCDA-E10A5E8A7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2026-07-24T18:13:00Z</dcterms:created>
  <dcterms:modified xsi:type="dcterms:W3CDTF">2026-07-24T18:13:00Z</dcterms:modified>
</cp:coreProperties>
</file>