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3EC4DA8" w:rsidR="0049405C" w:rsidRPr="00187BAA" w:rsidRDefault="0066046C" w:rsidP="0066046C">
            <w:pPr>
              <w:spacing w:line="720" w:lineRule="auto"/>
              <w:rPr>
                <w:rFonts w:ascii="宋体" w:eastAsia="宋体" w:hAnsi="宋体"/>
                <w:color w:val="545551"/>
              </w:rPr>
            </w:pPr>
            <w:bookmarkStart w:id="0" w:name="xingming"/>
            <w:bookmarkStart w:id="1" w:name="_GoBack"/>
            <w:bookmarkEnd w:id="1"/>
            <w:r w:rsidRPr="0066046C">
              <w:rPr>
                <w:rFonts w:ascii="宋体" w:eastAsia="宋体" w:hAnsi="Times New Roman" w:hint="eastAsia"/>
                <w:b/>
                <w:color w:val="000000"/>
                <w:sz w:val="48"/>
              </w:rPr>
              <w:t>陈伟祈</w:t>
            </w:r>
            <w:bookmarkEnd w:id="0"/>
          </w:p>
          <w:p w14:paraId="706EB16B" w14:textId="4B6C220A" w:rsidR="0049405C" w:rsidRPr="00187BAA" w:rsidRDefault="0066046C" w:rsidP="0066046C">
            <w:pPr>
              <w:spacing w:line="360" w:lineRule="auto"/>
              <w:rPr>
                <w:rFonts w:ascii="宋体" w:eastAsia="宋体" w:hAnsi="宋体"/>
                <w:b/>
                <w:bCs/>
                <w:color w:val="545551"/>
              </w:rPr>
            </w:pPr>
            <w:bookmarkStart w:id="2" w:name="didian"/>
            <w:r w:rsidRPr="0066046C">
              <w:rPr>
                <w:rFonts w:ascii="宋体" w:eastAsia="宋体" w:hAnsi="Times New Roman" w:hint="eastAsia"/>
                <w:b/>
                <w:bCs/>
                <w:color w:val="000000"/>
              </w:rPr>
              <w:t>合伙人·香港</w:t>
            </w:r>
            <w:bookmarkEnd w:id="2"/>
          </w:p>
          <w:p w14:paraId="6199424A" w14:textId="0E62A4CA" w:rsidR="0049405C" w:rsidRPr="00187BAA" w:rsidRDefault="0066046C" w:rsidP="0066046C">
            <w:pPr>
              <w:spacing w:line="360" w:lineRule="auto"/>
              <w:rPr>
                <w:rFonts w:ascii="宋体" w:eastAsia="宋体" w:hAnsi="宋体"/>
                <w:color w:val="545551"/>
              </w:rPr>
            </w:pPr>
            <w:bookmarkStart w:id="3" w:name="dianhua"/>
            <w:r w:rsidRPr="0066046C">
              <w:rPr>
                <w:rFonts w:ascii="宋体" w:eastAsia="宋体" w:hAnsi="Times New Roman"/>
                <w:color w:val="000000"/>
              </w:rPr>
              <w:t xml:space="preserve">+852 3976 8817 </w:t>
            </w:r>
            <w:bookmarkEnd w:id="3"/>
          </w:p>
          <w:p w14:paraId="4F910ACA" w14:textId="795893F9" w:rsidR="0049405C" w:rsidRPr="00187BAA" w:rsidRDefault="0066046C" w:rsidP="0066046C">
            <w:pPr>
              <w:spacing w:line="360" w:lineRule="auto"/>
              <w:rPr>
                <w:rFonts w:ascii="宋体" w:eastAsia="宋体" w:hAnsi="宋体"/>
                <w:color w:val="000000"/>
              </w:rPr>
            </w:pPr>
            <w:bookmarkStart w:id="4" w:name="youxiang"/>
            <w:r w:rsidRPr="0066046C">
              <w:rPr>
                <w:rFonts w:ascii="宋体" w:eastAsia="宋体" w:hAnsi="Times New Roman"/>
                <w:color w:val="000000"/>
              </w:rPr>
              <w:t>raymond.chan@fangdalaw.com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59C7F09" w:rsidR="0049405C" w:rsidRPr="00187BAA" w:rsidRDefault="0066046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FC22840" wp14:editId="3AB7B25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631B94F" w:rsidR="009465FB" w:rsidRPr="00187BAA" w:rsidRDefault="0066046C" w:rsidP="007177F3">
            <w:pPr>
              <w:rPr>
                <w:rFonts w:ascii="宋体" w:eastAsia="宋体" w:hAnsi="宋体"/>
                <w:color w:val="000000"/>
                <w:szCs w:val="21"/>
              </w:rPr>
            </w:pPr>
            <w:bookmarkStart w:id="6" w:name="zhiyelingyu"/>
            <w:r w:rsidRPr="0066046C">
              <w:rPr>
                <w:rFonts w:ascii="宋体" w:eastAsia="宋体" w:hAnsi="Times New Roman" w:hint="eastAsia"/>
                <w:color w:val="000000"/>
                <w:szCs w:val="21"/>
              </w:rPr>
              <w:t>陈伟祈律师为本所香港办公室的合伙人。陈律师于跨境并购、私募股权和风险资本交易拥有丰富的经验。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8DD7FF7" w14:textId="77777777" w:rsidR="0066046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E70F363" w14:textId="77777777" w:rsidR="0066046C" w:rsidRDefault="0066046C" w:rsidP="0066046C">
      <w:pPr>
        <w:pStyle w:val="af5"/>
        <w:spacing w:after="0" w:line="480" w:lineRule="auto"/>
        <w:rPr>
          <w:rFonts w:ascii="宋体" w:eastAsia="宋体" w:hAnsi="宋体"/>
          <w:b/>
          <w:sz w:val="24"/>
        </w:rPr>
      </w:pPr>
      <w:r w:rsidRPr="0066046C">
        <w:rPr>
          <w:rFonts w:ascii="宋体" w:eastAsia="宋体" w:hAnsi="宋体" w:hint="eastAsia"/>
          <w:b/>
          <w:sz w:val="24"/>
        </w:rPr>
        <w:t>近期代理的主要案件</w:t>
      </w:r>
    </w:p>
    <w:p w14:paraId="22F1A08F" w14:textId="77777777" w:rsidR="0066046C" w:rsidRDefault="0066046C" w:rsidP="0066046C">
      <w:pPr>
        <w:pStyle w:val="af5"/>
        <w:spacing w:before="120"/>
        <w:rPr>
          <w:rFonts w:ascii="宋体" w:eastAsia="宋体" w:hAnsi="Times New Roman"/>
          <w:color w:val="000000"/>
        </w:rPr>
      </w:pPr>
    </w:p>
    <w:p w14:paraId="72C09E9E" w14:textId="77777777" w:rsidR="0066046C" w:rsidRDefault="0066046C" w:rsidP="0066046C">
      <w:pPr>
        <w:pStyle w:val="af5"/>
        <w:numPr>
          <w:ilvl w:val="0"/>
          <w:numId w:val="4"/>
        </w:numPr>
        <w:spacing w:before="120"/>
        <w:ind w:left="690" w:hanging="240"/>
        <w:rPr>
          <w:rFonts w:ascii="宋体" w:eastAsia="宋体" w:hAnsi="Times New Roman"/>
          <w:color w:val="000000"/>
        </w:rPr>
      </w:pPr>
      <w:r w:rsidRPr="0066046C">
        <w:rPr>
          <w:rFonts w:ascii="宋体" w:eastAsia="宋体" w:hAnsi="Times New Roman" w:hint="eastAsia"/>
          <w:color w:val="000000"/>
        </w:rPr>
        <w:t>代表阿里巴巴集团控股有限公司（纽交所代码</w:t>
      </w:r>
      <w:r w:rsidRPr="0066046C">
        <w:rPr>
          <w:rFonts w:ascii="宋体" w:eastAsia="宋体" w:hAnsi="Times New Roman"/>
          <w:color w:val="000000"/>
        </w:rPr>
        <w:t>BABA，港交所股份代号9988）以150亿人民币战略入股分众传媒信息技术股份有限公司（深交所股份代号002027），中国最大的电子媒体之一，为梯媒广告的创始者</w:t>
      </w:r>
    </w:p>
    <w:p w14:paraId="15365242" w14:textId="77777777" w:rsidR="0066046C" w:rsidRDefault="0066046C" w:rsidP="0066046C">
      <w:pPr>
        <w:pStyle w:val="af5"/>
        <w:numPr>
          <w:ilvl w:val="0"/>
          <w:numId w:val="5"/>
        </w:numPr>
        <w:spacing w:before="120"/>
        <w:ind w:left="690" w:hanging="240"/>
        <w:rPr>
          <w:rFonts w:ascii="宋体" w:eastAsia="宋体" w:hAnsi="Times New Roman"/>
          <w:color w:val="000000"/>
        </w:rPr>
      </w:pPr>
      <w:r w:rsidRPr="0066046C">
        <w:rPr>
          <w:rFonts w:ascii="宋体" w:eastAsia="宋体" w:hAnsi="Times New Roman" w:hint="eastAsia"/>
          <w:color w:val="000000"/>
        </w:rPr>
        <w:t>代表由白马户外媒体首席执行官、蚂蚁金服、德高及</w:t>
      </w:r>
      <w:r w:rsidRPr="0066046C">
        <w:rPr>
          <w:rFonts w:ascii="宋体" w:eastAsia="宋体" w:hAnsi="Times New Roman"/>
          <w:color w:val="000000"/>
        </w:rPr>
        <w:t>China Wealth Growth Fund III L.P.组成的财团以38.57亿港元的自愿有条件现金要约收购中国最大的公共汽车候车亭广告牌营运商白马户外媒体有限公司（港交所股份代号100）的所有股份</w:t>
      </w:r>
    </w:p>
    <w:p w14:paraId="5C444051" w14:textId="77777777" w:rsidR="0066046C" w:rsidRDefault="0066046C" w:rsidP="0066046C">
      <w:pPr>
        <w:pStyle w:val="af5"/>
        <w:numPr>
          <w:ilvl w:val="0"/>
          <w:numId w:val="6"/>
        </w:numPr>
        <w:spacing w:before="120"/>
        <w:ind w:left="690" w:hanging="240"/>
        <w:rPr>
          <w:rFonts w:ascii="宋体" w:eastAsia="宋体" w:hAnsi="Times New Roman"/>
          <w:color w:val="000000"/>
        </w:rPr>
      </w:pPr>
      <w:r w:rsidRPr="0066046C">
        <w:rPr>
          <w:rFonts w:ascii="宋体" w:eastAsia="宋体" w:hAnsi="Times New Roman" w:hint="eastAsia"/>
          <w:color w:val="000000"/>
        </w:rPr>
        <w:t>代表太盟投资集团收购中国最大的的互联网婚介服务公司珍爱网的绝对控股权</w:t>
      </w:r>
    </w:p>
    <w:p w14:paraId="6B404FFC" w14:textId="77777777" w:rsidR="0066046C" w:rsidRDefault="0066046C" w:rsidP="0066046C">
      <w:pPr>
        <w:pStyle w:val="af5"/>
        <w:numPr>
          <w:ilvl w:val="0"/>
          <w:numId w:val="7"/>
        </w:numPr>
        <w:spacing w:before="120"/>
        <w:ind w:left="690" w:hanging="240"/>
        <w:rPr>
          <w:rFonts w:ascii="宋体" w:eastAsia="宋体" w:hAnsi="Times New Roman"/>
          <w:color w:val="000000"/>
        </w:rPr>
      </w:pPr>
      <w:r w:rsidRPr="0066046C">
        <w:rPr>
          <w:rFonts w:ascii="宋体" w:eastAsia="宋体" w:hAnsi="Times New Roman" w:hint="eastAsia"/>
          <w:color w:val="000000"/>
        </w:rPr>
        <w:t>代表阿里巴巴影业集团有限公司（港交所股份代号</w:t>
      </w:r>
      <w:r w:rsidRPr="0066046C">
        <w:rPr>
          <w:rFonts w:ascii="宋体" w:eastAsia="宋体" w:hAnsi="Times New Roman"/>
          <w:color w:val="000000"/>
        </w:rPr>
        <w:t>1060）认购中国第二大院线大地影业（南海控股有限公司（港交所股份代号0680）的子公司）10亿人民币的可换股及可交换债券</w:t>
      </w:r>
    </w:p>
    <w:p w14:paraId="43EED525" w14:textId="77777777" w:rsidR="0066046C" w:rsidRDefault="0066046C" w:rsidP="0066046C">
      <w:pPr>
        <w:pStyle w:val="af5"/>
        <w:numPr>
          <w:ilvl w:val="0"/>
          <w:numId w:val="8"/>
        </w:numPr>
        <w:spacing w:before="120"/>
        <w:ind w:left="690" w:hanging="240"/>
        <w:rPr>
          <w:rFonts w:ascii="宋体" w:eastAsia="宋体" w:hAnsi="Times New Roman"/>
          <w:color w:val="000000"/>
        </w:rPr>
      </w:pPr>
      <w:r w:rsidRPr="0066046C">
        <w:rPr>
          <w:rFonts w:ascii="宋体" w:eastAsia="宋体" w:hAnsi="Times New Roman" w:hint="eastAsia"/>
          <w:color w:val="000000"/>
        </w:rPr>
        <w:t>代表阿里巴巴集团控股有限公司（纽交所代码</w:t>
      </w:r>
      <w:r w:rsidRPr="0066046C">
        <w:rPr>
          <w:rFonts w:ascii="宋体" w:eastAsia="宋体" w:hAnsi="Times New Roman"/>
          <w:color w:val="000000"/>
        </w:rPr>
        <w:t>BABA，港交所股份代号9988）以16亿人民币与江苏康众汽配有限公司，一家领先的汽车配件供应链服务商、汽车超人，一家由浙江金固股份有限公司（深交所002488）全资拥有的领先汽车配套服务平台，以及其他财务投资人，包括华平投资、云峰基金、太盟投资集团，组成的合资公司对中国汽车售后服务市场进行战略投资</w:t>
      </w:r>
    </w:p>
    <w:p w14:paraId="5C3AC6CB" w14:textId="77777777" w:rsidR="0066046C" w:rsidRDefault="0066046C" w:rsidP="0066046C">
      <w:pPr>
        <w:pStyle w:val="af5"/>
        <w:numPr>
          <w:ilvl w:val="0"/>
          <w:numId w:val="9"/>
        </w:numPr>
        <w:spacing w:before="120"/>
        <w:ind w:left="690" w:hanging="240"/>
        <w:rPr>
          <w:rFonts w:ascii="宋体" w:eastAsia="宋体" w:hAnsi="Times New Roman"/>
          <w:color w:val="000000"/>
        </w:rPr>
      </w:pPr>
      <w:r w:rsidRPr="0066046C">
        <w:rPr>
          <w:rFonts w:ascii="宋体" w:eastAsia="宋体" w:hAnsi="Times New Roman" w:hint="eastAsia"/>
          <w:color w:val="000000"/>
        </w:rPr>
        <w:t>代表宏利对一家中国领先的互联网医疗平台进行上市前投资</w:t>
      </w:r>
    </w:p>
    <w:p w14:paraId="5B5EE18E" w14:textId="77777777" w:rsidR="0066046C" w:rsidRDefault="0066046C" w:rsidP="0066046C">
      <w:pPr>
        <w:pStyle w:val="af5"/>
        <w:numPr>
          <w:ilvl w:val="0"/>
          <w:numId w:val="10"/>
        </w:numPr>
        <w:spacing w:before="120"/>
        <w:ind w:left="690" w:hanging="240"/>
        <w:rPr>
          <w:rFonts w:ascii="宋体" w:eastAsia="宋体" w:hAnsi="Times New Roman"/>
          <w:color w:val="000000"/>
        </w:rPr>
      </w:pPr>
      <w:r w:rsidRPr="0066046C">
        <w:rPr>
          <w:rFonts w:ascii="宋体" w:eastAsia="宋体" w:hAnsi="Times New Roman" w:hint="eastAsia"/>
          <w:color w:val="000000"/>
        </w:rPr>
        <w:t>代表基汇资本与中骏集团控股有限公司（港交所股份代号</w:t>
      </w:r>
      <w:r w:rsidRPr="0066046C">
        <w:rPr>
          <w:rFonts w:ascii="宋体" w:eastAsia="宋体" w:hAnsi="Times New Roman"/>
          <w:color w:val="000000"/>
        </w:rPr>
        <w:t>1966）在中国设立首期规模为8亿美元的长租公寓投资平台</w:t>
      </w:r>
    </w:p>
    <w:p w14:paraId="0C0C5C48" w14:textId="77777777" w:rsidR="0066046C" w:rsidRDefault="0066046C" w:rsidP="0066046C">
      <w:pPr>
        <w:pStyle w:val="af5"/>
        <w:numPr>
          <w:ilvl w:val="0"/>
          <w:numId w:val="11"/>
        </w:numPr>
        <w:spacing w:before="120"/>
        <w:ind w:left="690" w:hanging="240"/>
        <w:rPr>
          <w:rFonts w:ascii="宋体" w:eastAsia="宋体" w:hAnsi="Times New Roman"/>
          <w:color w:val="000000"/>
        </w:rPr>
      </w:pPr>
      <w:r w:rsidRPr="0066046C">
        <w:rPr>
          <w:rFonts w:ascii="宋体" w:eastAsia="宋体" w:hAnsi="Times New Roman" w:hint="eastAsia"/>
          <w:color w:val="000000"/>
        </w:rPr>
        <w:t>代表阿里巴巴香港创业者基金与商汤科技及香港科技园公司设立合资公司营运非牟利项目香港智能实验室（</w:t>
      </w:r>
      <w:r w:rsidRPr="0066046C">
        <w:rPr>
          <w:rFonts w:ascii="宋体" w:eastAsia="宋体" w:hAnsi="Times New Roman"/>
          <w:color w:val="000000"/>
        </w:rPr>
        <w:t>HKAI Lab），提供平台协助香港初创企业研发人工智能发明和技术并将其商业化</w:t>
      </w:r>
    </w:p>
    <w:p w14:paraId="6F393621" w14:textId="77777777" w:rsidR="0066046C" w:rsidRDefault="0066046C" w:rsidP="0066046C">
      <w:pPr>
        <w:pStyle w:val="af5"/>
        <w:numPr>
          <w:ilvl w:val="0"/>
          <w:numId w:val="12"/>
        </w:numPr>
        <w:spacing w:before="120"/>
        <w:ind w:left="690" w:hanging="240"/>
        <w:rPr>
          <w:rFonts w:ascii="宋体" w:eastAsia="宋体" w:hAnsi="Times New Roman"/>
          <w:color w:val="000000"/>
        </w:rPr>
      </w:pPr>
      <w:r w:rsidRPr="0066046C">
        <w:rPr>
          <w:rFonts w:ascii="宋体" w:eastAsia="宋体" w:hAnsi="Times New Roman" w:hint="eastAsia"/>
          <w:color w:val="000000"/>
        </w:rPr>
        <w:t>代表飞利浦向出售其大中华地区的水净化业务给德尔玛电器，一家中国领先的家电品牌</w:t>
      </w:r>
    </w:p>
    <w:p w14:paraId="6D21CE1B" w14:textId="77777777" w:rsidR="0066046C" w:rsidRDefault="0066046C" w:rsidP="0066046C">
      <w:pPr>
        <w:pStyle w:val="af5"/>
        <w:numPr>
          <w:ilvl w:val="0"/>
          <w:numId w:val="13"/>
        </w:numPr>
        <w:spacing w:before="120"/>
        <w:ind w:left="690" w:hanging="240"/>
        <w:rPr>
          <w:rFonts w:ascii="宋体" w:eastAsia="宋体" w:hAnsi="Times New Roman"/>
          <w:color w:val="000000"/>
        </w:rPr>
      </w:pPr>
      <w:r w:rsidRPr="0066046C">
        <w:rPr>
          <w:rFonts w:ascii="宋体" w:eastAsia="宋体" w:hAnsi="Times New Roman" w:hint="eastAsia"/>
          <w:color w:val="000000"/>
        </w:rPr>
        <w:t>代表高盛对两间重点放在中国的房地产开发商进行上市前投资、以及随后对投资的重组和退出</w:t>
      </w:r>
    </w:p>
    <w:p w14:paraId="7C930AF5" w14:textId="77777777" w:rsidR="0066046C" w:rsidRDefault="0066046C" w:rsidP="0066046C">
      <w:pPr>
        <w:pStyle w:val="af5"/>
        <w:numPr>
          <w:ilvl w:val="0"/>
          <w:numId w:val="14"/>
        </w:numPr>
        <w:spacing w:before="120"/>
        <w:ind w:left="690" w:hanging="240"/>
        <w:rPr>
          <w:rFonts w:ascii="宋体" w:eastAsia="宋体" w:hAnsi="Times New Roman"/>
          <w:color w:val="000000"/>
        </w:rPr>
      </w:pPr>
      <w:r w:rsidRPr="0066046C">
        <w:rPr>
          <w:rFonts w:ascii="宋体" w:eastAsia="宋体" w:hAnsi="Times New Roman" w:hint="eastAsia"/>
          <w:color w:val="000000"/>
        </w:rPr>
        <w:t>代表</w:t>
      </w:r>
      <w:r w:rsidRPr="0066046C">
        <w:rPr>
          <w:rFonts w:ascii="宋体" w:eastAsia="宋体" w:hAnsi="Times New Roman"/>
          <w:color w:val="000000"/>
        </w:rPr>
        <w:t>Och-Ziff参与多个拟上市前投资项目（包括一家重点放在中国的房地产开发商和一家太阳能技术公司）</w:t>
      </w:r>
    </w:p>
    <w:p w14:paraId="78BA2CDB" w14:textId="77777777" w:rsidR="0066046C" w:rsidRDefault="0066046C" w:rsidP="0066046C">
      <w:pPr>
        <w:pStyle w:val="af5"/>
        <w:numPr>
          <w:ilvl w:val="0"/>
          <w:numId w:val="15"/>
        </w:numPr>
        <w:spacing w:before="120"/>
        <w:ind w:left="690" w:hanging="240"/>
        <w:rPr>
          <w:rFonts w:ascii="宋体" w:eastAsia="宋体" w:hAnsi="Times New Roman"/>
          <w:color w:val="000000"/>
        </w:rPr>
      </w:pPr>
      <w:r w:rsidRPr="0066046C">
        <w:rPr>
          <w:rFonts w:ascii="宋体" w:eastAsia="宋体" w:hAnsi="Times New Roman" w:hint="eastAsia"/>
          <w:color w:val="000000"/>
        </w:rPr>
        <w:t>代表渣打私募股权对远大中国控股有限公司（一家目前在香港联交所上市的高端建材公司）进行上市前投资</w:t>
      </w:r>
    </w:p>
    <w:p w14:paraId="0E6DB312" w14:textId="77777777" w:rsidR="0066046C" w:rsidRDefault="0066046C" w:rsidP="0066046C">
      <w:pPr>
        <w:pStyle w:val="af5"/>
        <w:numPr>
          <w:ilvl w:val="0"/>
          <w:numId w:val="16"/>
        </w:numPr>
        <w:spacing w:before="120"/>
        <w:ind w:left="690" w:hanging="240"/>
        <w:rPr>
          <w:rFonts w:ascii="宋体" w:eastAsia="宋体" w:hAnsi="Times New Roman"/>
          <w:color w:val="000000"/>
        </w:rPr>
      </w:pPr>
      <w:r w:rsidRPr="0066046C">
        <w:rPr>
          <w:rFonts w:ascii="宋体" w:eastAsia="宋体" w:hAnsi="Times New Roman" w:hint="eastAsia"/>
          <w:color w:val="000000"/>
        </w:rPr>
        <w:t>代表帮帮兔就其与顺丰速运设立合资公司提供法律服务，该合资公司将利用帮帮兔的技术优势与顺丰速运的运营专长在香港提供物流解决方案和跑腿服务</w:t>
      </w:r>
    </w:p>
    <w:p w14:paraId="25DBCFB5" w14:textId="77777777" w:rsidR="0066046C" w:rsidRDefault="0066046C" w:rsidP="0066046C">
      <w:pPr>
        <w:pStyle w:val="af5"/>
        <w:numPr>
          <w:ilvl w:val="0"/>
          <w:numId w:val="17"/>
        </w:numPr>
        <w:spacing w:before="120"/>
        <w:ind w:left="690" w:hanging="240"/>
        <w:rPr>
          <w:rFonts w:ascii="宋体" w:eastAsia="宋体" w:hAnsi="Times New Roman"/>
          <w:color w:val="000000"/>
        </w:rPr>
      </w:pPr>
      <w:r w:rsidRPr="0066046C">
        <w:rPr>
          <w:rFonts w:ascii="宋体" w:eastAsia="宋体" w:hAnsi="Times New Roman" w:hint="eastAsia"/>
          <w:color w:val="000000"/>
        </w:rPr>
        <w:t>代表</w:t>
      </w:r>
      <w:r w:rsidRPr="0066046C">
        <w:rPr>
          <w:rFonts w:ascii="宋体" w:eastAsia="宋体" w:hAnsi="Times New Roman"/>
          <w:color w:val="000000"/>
        </w:rPr>
        <w:t>DDC Enterprise Limited（烹饪网站日日煮的运营商）参与其A轮和A-1轮融资（投资人包括作为阿里巴巴企业家基金经理的Gobi Ventures）</w:t>
      </w:r>
    </w:p>
    <w:p w14:paraId="358EA74B" w14:textId="77777777" w:rsidR="0066046C" w:rsidRDefault="0066046C" w:rsidP="0066046C">
      <w:pPr>
        <w:pStyle w:val="af5"/>
        <w:numPr>
          <w:ilvl w:val="0"/>
          <w:numId w:val="18"/>
        </w:numPr>
        <w:spacing w:before="120"/>
        <w:ind w:left="690" w:hanging="240"/>
        <w:rPr>
          <w:rFonts w:ascii="宋体" w:eastAsia="宋体" w:hAnsi="Times New Roman"/>
          <w:color w:val="000000"/>
        </w:rPr>
      </w:pPr>
      <w:r w:rsidRPr="0066046C">
        <w:rPr>
          <w:rFonts w:ascii="宋体" w:eastAsia="宋体" w:hAnsi="Times New Roman" w:hint="eastAsia"/>
          <w:color w:val="000000"/>
        </w:rPr>
        <w:t>代表</w:t>
      </w:r>
      <w:r w:rsidRPr="0066046C">
        <w:rPr>
          <w:rFonts w:ascii="宋体" w:eastAsia="宋体" w:hAnsi="Times New Roman"/>
          <w:color w:val="000000"/>
        </w:rPr>
        <w:t>RRJ Capital对几家以中国市场为重点的企业进行上市前投资，其中包括一家智能信用卡/借记卡制造商，一家国际连锁酒店在中国的特许经营，和一家果汁饮料和茶饮料生产商</w:t>
      </w:r>
    </w:p>
    <w:p w14:paraId="419F8CE9" w14:textId="77777777" w:rsidR="0066046C" w:rsidRDefault="0066046C" w:rsidP="0066046C">
      <w:pPr>
        <w:pStyle w:val="af5"/>
        <w:numPr>
          <w:ilvl w:val="0"/>
          <w:numId w:val="19"/>
        </w:numPr>
        <w:spacing w:before="120"/>
        <w:ind w:left="690" w:hanging="240"/>
        <w:rPr>
          <w:rFonts w:ascii="宋体" w:eastAsia="宋体" w:hAnsi="Times New Roman"/>
          <w:color w:val="000000"/>
        </w:rPr>
      </w:pPr>
      <w:r w:rsidRPr="0066046C">
        <w:rPr>
          <w:rFonts w:ascii="宋体" w:eastAsia="宋体" w:hAnsi="Times New Roman" w:hint="eastAsia"/>
          <w:color w:val="000000"/>
        </w:rPr>
        <w:t>代表中信证券国际就其客户在一个马来西亚的上市公司的潜在结构性股份累积，和其对于一个中国金融服务公司的投资和事先约定的退出机制提供法律服务</w:t>
      </w:r>
    </w:p>
    <w:p w14:paraId="6E86E143" w14:textId="77777777" w:rsidR="0066046C" w:rsidRDefault="0066046C" w:rsidP="0066046C">
      <w:pPr>
        <w:pStyle w:val="af5"/>
        <w:numPr>
          <w:ilvl w:val="0"/>
          <w:numId w:val="20"/>
        </w:numPr>
        <w:spacing w:before="120"/>
        <w:ind w:left="690" w:hanging="240"/>
        <w:rPr>
          <w:rFonts w:ascii="宋体" w:eastAsia="宋体" w:hAnsi="Times New Roman"/>
          <w:color w:val="000000"/>
        </w:rPr>
      </w:pPr>
      <w:r w:rsidRPr="0066046C">
        <w:rPr>
          <w:rFonts w:ascii="宋体" w:eastAsia="宋体" w:hAnsi="Times New Roman" w:hint="eastAsia"/>
          <w:color w:val="000000"/>
        </w:rPr>
        <w:t>代表迈瑞医疗就其私有化后的企业重组及拟</w:t>
      </w:r>
      <w:r w:rsidRPr="0066046C">
        <w:rPr>
          <w:rFonts w:ascii="宋体" w:eastAsia="宋体" w:hAnsi="Times New Roman"/>
          <w:color w:val="000000"/>
        </w:rPr>
        <w:t>A股上市计划提供法律服务</w:t>
      </w:r>
    </w:p>
    <w:p w14:paraId="04573ECF" w14:textId="77777777" w:rsidR="0066046C" w:rsidRDefault="0066046C" w:rsidP="0066046C">
      <w:pPr>
        <w:pStyle w:val="af5"/>
        <w:numPr>
          <w:ilvl w:val="0"/>
          <w:numId w:val="21"/>
        </w:numPr>
        <w:spacing w:before="120"/>
        <w:ind w:left="690" w:hanging="240"/>
        <w:rPr>
          <w:rFonts w:ascii="宋体" w:eastAsia="宋体" w:hAnsi="Times New Roman"/>
          <w:color w:val="000000"/>
        </w:rPr>
      </w:pPr>
      <w:r w:rsidRPr="0066046C">
        <w:rPr>
          <w:rFonts w:ascii="宋体" w:eastAsia="宋体" w:hAnsi="Times New Roman" w:hint="eastAsia"/>
          <w:color w:val="000000"/>
        </w:rPr>
        <w:t>为苏格兰皇家银行就其处置其亚洲银行利益提供法律服务</w:t>
      </w:r>
    </w:p>
    <w:p w14:paraId="325114DA" w14:textId="77777777" w:rsidR="0066046C" w:rsidRDefault="0066046C" w:rsidP="0066046C">
      <w:pPr>
        <w:pStyle w:val="af5"/>
        <w:numPr>
          <w:ilvl w:val="0"/>
          <w:numId w:val="22"/>
        </w:numPr>
        <w:spacing w:before="120"/>
        <w:ind w:left="690" w:hanging="240"/>
        <w:rPr>
          <w:rFonts w:ascii="宋体" w:eastAsia="宋体" w:hAnsi="Times New Roman"/>
          <w:color w:val="000000"/>
        </w:rPr>
      </w:pPr>
      <w:r w:rsidRPr="0066046C">
        <w:rPr>
          <w:rFonts w:ascii="宋体" w:eastAsia="宋体" w:hAnsi="Times New Roman" w:hint="eastAsia"/>
          <w:color w:val="000000"/>
        </w:rPr>
        <w:t>为毕马威作为雷曼兄弟清盘人各投资组合的管理提供法律服务</w:t>
      </w:r>
    </w:p>
    <w:p w14:paraId="39D645AA" w14:textId="77777777" w:rsidR="0066046C" w:rsidRDefault="0066046C" w:rsidP="0066046C">
      <w:pPr>
        <w:pStyle w:val="af5"/>
        <w:numPr>
          <w:ilvl w:val="0"/>
          <w:numId w:val="23"/>
        </w:numPr>
        <w:spacing w:before="120"/>
        <w:ind w:left="690" w:hanging="240"/>
        <w:rPr>
          <w:rFonts w:ascii="宋体" w:eastAsia="宋体" w:hAnsi="Times New Roman"/>
          <w:color w:val="000000"/>
        </w:rPr>
      </w:pPr>
      <w:r w:rsidRPr="0066046C">
        <w:rPr>
          <w:rFonts w:ascii="宋体" w:eastAsia="宋体" w:hAnsi="Times New Roman" w:hint="eastAsia"/>
          <w:color w:val="000000"/>
        </w:rPr>
        <w:t>为包括</w:t>
      </w:r>
      <w:r w:rsidRPr="0066046C">
        <w:rPr>
          <w:rFonts w:ascii="宋体" w:eastAsia="宋体" w:hAnsi="Times New Roman"/>
          <w:color w:val="000000"/>
        </w:rPr>
        <w:t>Och-Ziff、Forum Partners以及高桥资本管理公司组成的投资者财团重组其于中国新城镇发展（一家于香港联交所和新加坡证券交易所上市的的公司）的投资提供法律服务</w:t>
      </w:r>
    </w:p>
    <w:p w14:paraId="4A04F5EB" w14:textId="77777777" w:rsidR="0066046C" w:rsidRDefault="0066046C" w:rsidP="0066046C">
      <w:pPr>
        <w:pStyle w:val="af5"/>
        <w:numPr>
          <w:ilvl w:val="0"/>
          <w:numId w:val="24"/>
        </w:numPr>
        <w:spacing w:before="120"/>
        <w:ind w:left="690" w:hanging="240"/>
        <w:rPr>
          <w:rFonts w:ascii="宋体" w:eastAsia="宋体" w:hAnsi="Times New Roman"/>
          <w:color w:val="000000"/>
        </w:rPr>
      </w:pPr>
      <w:r w:rsidRPr="0066046C">
        <w:rPr>
          <w:rFonts w:ascii="宋体" w:eastAsia="宋体" w:hAnsi="Times New Roman" w:hint="eastAsia"/>
          <w:color w:val="000000"/>
        </w:rPr>
        <w:t>在罗祖儒投资管理公司被出售予蒙特利尔银行中代表罗祖儒投资管理公司的股东</w:t>
      </w:r>
    </w:p>
    <w:p w14:paraId="00EDC49E" w14:textId="77777777" w:rsidR="0066046C" w:rsidRDefault="0066046C" w:rsidP="0066046C">
      <w:pPr>
        <w:pStyle w:val="af5"/>
        <w:numPr>
          <w:ilvl w:val="0"/>
          <w:numId w:val="25"/>
        </w:numPr>
        <w:spacing w:before="120"/>
        <w:ind w:left="690" w:hanging="240"/>
        <w:rPr>
          <w:rFonts w:ascii="宋体" w:eastAsia="宋体" w:hAnsi="Times New Roman"/>
          <w:color w:val="000000"/>
        </w:rPr>
      </w:pPr>
      <w:r w:rsidRPr="0066046C">
        <w:rPr>
          <w:rFonts w:ascii="宋体" w:eastAsia="宋体" w:hAnsi="Times New Roman" w:hint="eastAsia"/>
          <w:color w:val="000000"/>
        </w:rPr>
        <w:t>在约瑟</w:t>
      </w:r>
      <w:r w:rsidRPr="0066046C">
        <w:rPr>
          <w:rFonts w:ascii="宋体" w:eastAsia="宋体" w:hAnsi="Times New Roman"/>
          <w:color w:val="000000"/>
        </w:rPr>
        <w:t>(集团)有限公司（一家位于香港的食品包装用品制造商）被出售予Huhtamaki Oyj，一家在芬兰上市的全球包装公司，中代表约瑟(集团)有限公司的股东</w:t>
      </w:r>
    </w:p>
    <w:p w14:paraId="4549303F" w14:textId="77777777" w:rsidR="0066046C" w:rsidRDefault="0066046C" w:rsidP="0066046C">
      <w:pPr>
        <w:pStyle w:val="af5"/>
        <w:numPr>
          <w:ilvl w:val="0"/>
          <w:numId w:val="26"/>
        </w:numPr>
        <w:spacing w:before="120"/>
        <w:ind w:left="690" w:hanging="240"/>
        <w:rPr>
          <w:rFonts w:ascii="宋体" w:eastAsia="宋体" w:hAnsi="Times New Roman"/>
          <w:color w:val="000000"/>
        </w:rPr>
      </w:pPr>
      <w:r w:rsidRPr="0066046C">
        <w:rPr>
          <w:rFonts w:ascii="宋体" w:eastAsia="宋体" w:hAnsi="Times New Roman" w:hint="eastAsia"/>
          <w:color w:val="000000"/>
        </w:rPr>
        <w:t>为花旗通过出售其全资拥有的香港控股公司出售其北京西环广场的权益提供法律服务</w:t>
      </w:r>
    </w:p>
    <w:p w14:paraId="2CAE3137" w14:textId="77777777" w:rsidR="0066046C" w:rsidRDefault="0066046C" w:rsidP="0066046C">
      <w:pPr>
        <w:pStyle w:val="af5"/>
        <w:numPr>
          <w:ilvl w:val="0"/>
          <w:numId w:val="27"/>
        </w:numPr>
        <w:spacing w:before="120"/>
        <w:ind w:left="690" w:hanging="240"/>
        <w:rPr>
          <w:rFonts w:ascii="宋体" w:eastAsia="宋体" w:hAnsi="Times New Roman"/>
          <w:color w:val="000000"/>
        </w:rPr>
      </w:pPr>
      <w:r w:rsidRPr="0066046C">
        <w:rPr>
          <w:rFonts w:ascii="宋体" w:eastAsia="宋体" w:hAnsi="Times New Roman" w:hint="eastAsia"/>
          <w:color w:val="000000"/>
        </w:rPr>
        <w:t>为摩根士丹利亚洲对两家重点放在中国的采矿实体的潜在收购提供法律服务</w:t>
      </w:r>
    </w:p>
    <w:p w14:paraId="4BBFD1DC" w14:textId="77777777" w:rsidR="0066046C" w:rsidRDefault="0066046C" w:rsidP="0066046C">
      <w:pPr>
        <w:pStyle w:val="af5"/>
        <w:numPr>
          <w:ilvl w:val="0"/>
          <w:numId w:val="28"/>
        </w:numPr>
        <w:spacing w:before="120"/>
        <w:ind w:left="690" w:hanging="240"/>
        <w:rPr>
          <w:rFonts w:ascii="宋体" w:eastAsia="宋体" w:hAnsi="Times New Roman"/>
          <w:color w:val="000000"/>
        </w:rPr>
      </w:pPr>
      <w:r w:rsidRPr="0066046C">
        <w:rPr>
          <w:rFonts w:ascii="宋体" w:eastAsia="宋体" w:hAnsi="Times New Roman" w:hint="eastAsia"/>
          <w:color w:val="000000"/>
        </w:rPr>
        <w:t>代表</w:t>
      </w:r>
      <w:r w:rsidRPr="0066046C">
        <w:rPr>
          <w:rFonts w:ascii="宋体" w:eastAsia="宋体" w:hAnsi="Times New Roman"/>
          <w:color w:val="000000"/>
        </w:rPr>
        <w:t>Meyer Bergman就其对伦敦贝斯沃特的怀特利斯购物中心的收购提供法律服务</w:t>
      </w:r>
    </w:p>
    <w:p w14:paraId="35D3A069" w14:textId="77777777" w:rsidR="0066046C" w:rsidRDefault="0066046C" w:rsidP="0066046C">
      <w:pPr>
        <w:pStyle w:val="af5"/>
        <w:numPr>
          <w:ilvl w:val="0"/>
          <w:numId w:val="29"/>
        </w:numPr>
        <w:spacing w:before="120"/>
        <w:ind w:left="690" w:hanging="240"/>
        <w:rPr>
          <w:rFonts w:ascii="宋体" w:eastAsia="宋体" w:hAnsi="Times New Roman"/>
          <w:color w:val="000000"/>
        </w:rPr>
      </w:pPr>
      <w:r w:rsidRPr="0066046C">
        <w:rPr>
          <w:rFonts w:ascii="宋体" w:eastAsia="宋体" w:hAnsi="Times New Roman" w:hint="eastAsia"/>
          <w:color w:val="000000"/>
        </w:rPr>
        <w:t>代表华润置地与某国际主权财富基金建立合资企业，拟以建立一个总值</w:t>
      </w:r>
      <w:r w:rsidRPr="0066046C">
        <w:rPr>
          <w:rFonts w:ascii="宋体" w:eastAsia="宋体" w:hAnsi="Times New Roman"/>
          <w:color w:val="000000"/>
        </w:rPr>
        <w:t>20亿美元，专注于中国房地产的投资平台</w:t>
      </w:r>
    </w:p>
    <w:p w14:paraId="01A908AA" w14:textId="77777777" w:rsidR="0066046C" w:rsidRDefault="0066046C" w:rsidP="0066046C">
      <w:pPr>
        <w:pStyle w:val="af5"/>
        <w:numPr>
          <w:ilvl w:val="0"/>
          <w:numId w:val="30"/>
        </w:numPr>
        <w:spacing w:before="120"/>
        <w:ind w:left="690" w:hanging="240"/>
        <w:rPr>
          <w:rFonts w:ascii="宋体" w:eastAsia="宋体" w:hAnsi="Times New Roman"/>
          <w:color w:val="000000"/>
        </w:rPr>
      </w:pPr>
      <w:r w:rsidRPr="0066046C">
        <w:rPr>
          <w:rFonts w:ascii="宋体" w:eastAsia="宋体" w:hAnsi="Times New Roman" w:hint="eastAsia"/>
          <w:color w:val="000000"/>
        </w:rPr>
        <w:t>代表</w:t>
      </w:r>
      <w:r w:rsidRPr="0066046C">
        <w:rPr>
          <w:rFonts w:ascii="宋体" w:eastAsia="宋体" w:hAnsi="Times New Roman"/>
          <w:color w:val="000000"/>
        </w:rPr>
        <w:t>Brookfield Property Group的子公司IDI Gazeley与联想集团子公司Zeny Supply Chain建立合资企业，为某国际零售商于内地设计和建造物流中心</w:t>
      </w:r>
    </w:p>
    <w:p w14:paraId="252E98BE" w14:textId="77777777" w:rsidR="0066046C" w:rsidRDefault="0066046C" w:rsidP="0066046C">
      <w:pPr>
        <w:pStyle w:val="af5"/>
        <w:numPr>
          <w:ilvl w:val="0"/>
          <w:numId w:val="31"/>
        </w:numPr>
        <w:spacing w:before="120"/>
        <w:ind w:left="690" w:hanging="240"/>
        <w:rPr>
          <w:rFonts w:ascii="宋体" w:eastAsia="宋体" w:hAnsi="Times New Roman"/>
          <w:color w:val="000000"/>
        </w:rPr>
      </w:pPr>
      <w:r w:rsidRPr="0066046C">
        <w:rPr>
          <w:rFonts w:ascii="宋体" w:eastAsia="宋体" w:hAnsi="Times New Roman" w:hint="eastAsia"/>
          <w:color w:val="000000"/>
        </w:rPr>
        <w:t>代表花旗银行就与开发商建造和租赁花旗银行其两个未来在东南亚枢纽的地区总部进行谈判</w:t>
      </w:r>
    </w:p>
    <w:p w14:paraId="18DBD2A5" w14:textId="77777777" w:rsidR="0066046C" w:rsidRDefault="0066046C" w:rsidP="0066046C">
      <w:pPr>
        <w:pStyle w:val="af5"/>
        <w:numPr>
          <w:ilvl w:val="0"/>
          <w:numId w:val="32"/>
        </w:numPr>
        <w:spacing w:before="120"/>
        <w:ind w:left="690" w:hanging="240"/>
        <w:rPr>
          <w:rFonts w:ascii="宋体" w:eastAsia="宋体" w:hAnsi="Times New Roman"/>
          <w:color w:val="000000"/>
        </w:rPr>
      </w:pPr>
      <w:r w:rsidRPr="0066046C">
        <w:rPr>
          <w:rFonts w:ascii="宋体" w:eastAsia="宋体" w:hAnsi="Times New Roman" w:hint="eastAsia"/>
          <w:color w:val="000000"/>
        </w:rPr>
        <w:t>代表香港置地就其发展中国北京王府井大街的高端商业用地提供法律服务</w:t>
      </w:r>
    </w:p>
    <w:p w14:paraId="50C21D60" w14:textId="77777777" w:rsidR="0066046C" w:rsidRDefault="0066046C" w:rsidP="0066046C">
      <w:pPr>
        <w:pStyle w:val="af5"/>
        <w:numPr>
          <w:ilvl w:val="0"/>
          <w:numId w:val="33"/>
        </w:numPr>
        <w:spacing w:before="120"/>
        <w:ind w:left="690" w:hanging="240"/>
        <w:rPr>
          <w:rFonts w:ascii="宋体" w:eastAsia="宋体" w:hAnsi="Times New Roman"/>
          <w:color w:val="000000"/>
        </w:rPr>
      </w:pPr>
      <w:r w:rsidRPr="0066046C">
        <w:rPr>
          <w:rFonts w:ascii="宋体" w:eastAsia="宋体" w:hAnsi="Times New Roman" w:hint="eastAsia"/>
          <w:color w:val="000000"/>
        </w:rPr>
        <w:t>代表深圳能源就其在东南亚某发展中国家拟建设和运营水电站的项目提供法律服务</w:t>
      </w:r>
    </w:p>
    <w:p w14:paraId="58397309" w14:textId="77777777" w:rsidR="0066046C" w:rsidRDefault="0066046C" w:rsidP="0066046C">
      <w:pPr>
        <w:pStyle w:val="af5"/>
        <w:numPr>
          <w:ilvl w:val="0"/>
          <w:numId w:val="34"/>
        </w:numPr>
        <w:spacing w:before="120"/>
        <w:ind w:left="690" w:hanging="240"/>
        <w:rPr>
          <w:rFonts w:ascii="宋体" w:eastAsia="宋体" w:hAnsi="Times New Roman"/>
          <w:color w:val="000000"/>
        </w:rPr>
      </w:pPr>
      <w:r w:rsidRPr="0066046C">
        <w:rPr>
          <w:rFonts w:ascii="宋体" w:eastAsia="宋体" w:hAnsi="Times New Roman" w:hint="eastAsia"/>
          <w:color w:val="000000"/>
        </w:rPr>
        <w:t>代表一家中国投资者就其与全球最大的其中一家液化天然气供应商及一家俄罗斯大宗商品交易巨头设立合资企业探索向中国买家推广和销售俄罗斯开采的液化天然气的市场的项目提供法律服务</w:t>
      </w:r>
    </w:p>
    <w:p w14:paraId="79739ED6" w14:textId="77777777" w:rsidR="0066046C" w:rsidRDefault="0066046C" w:rsidP="0066046C">
      <w:pPr>
        <w:pStyle w:val="af5"/>
        <w:numPr>
          <w:ilvl w:val="0"/>
          <w:numId w:val="35"/>
        </w:numPr>
        <w:spacing w:before="120"/>
        <w:ind w:left="690" w:hanging="240"/>
        <w:rPr>
          <w:rFonts w:ascii="宋体" w:eastAsia="宋体" w:hAnsi="Times New Roman"/>
          <w:color w:val="000000"/>
        </w:rPr>
      </w:pPr>
      <w:r w:rsidRPr="0066046C">
        <w:rPr>
          <w:rFonts w:ascii="宋体" w:eastAsia="宋体" w:hAnsi="Times New Roman" w:hint="eastAsia"/>
          <w:color w:val="000000"/>
        </w:rPr>
        <w:t>代表中国招商局就其与吉布提政府于吉布提共和国合资建造及营运基础设施配套提供法律服务</w:t>
      </w:r>
    </w:p>
    <w:p w14:paraId="0B03690F" w14:textId="77777777" w:rsidR="0066046C" w:rsidRDefault="0066046C" w:rsidP="0066046C">
      <w:pPr>
        <w:pStyle w:val="af5"/>
        <w:spacing w:after="0" w:line="480" w:lineRule="auto"/>
        <w:rPr>
          <w:rFonts w:ascii="宋体" w:eastAsia="宋体" w:hAnsi="宋体"/>
          <w:b/>
          <w:sz w:val="24"/>
        </w:rPr>
      </w:pPr>
      <w:r w:rsidRPr="0066046C">
        <w:rPr>
          <w:rFonts w:ascii="宋体" w:eastAsia="宋体" w:hAnsi="宋体" w:hint="eastAsia"/>
          <w:b/>
          <w:sz w:val="24"/>
        </w:rPr>
        <w:t>教育背景</w:t>
      </w:r>
    </w:p>
    <w:p w14:paraId="40566C3A" w14:textId="77777777" w:rsidR="0066046C" w:rsidRDefault="0066046C" w:rsidP="0066046C">
      <w:pPr>
        <w:pStyle w:val="af5"/>
        <w:numPr>
          <w:ilvl w:val="0"/>
          <w:numId w:val="36"/>
        </w:numPr>
        <w:spacing w:before="120"/>
        <w:ind w:left="690" w:hanging="240"/>
        <w:rPr>
          <w:rFonts w:ascii="宋体" w:eastAsia="宋体" w:hAnsi="Times New Roman"/>
          <w:color w:val="000000"/>
        </w:rPr>
      </w:pPr>
      <w:r w:rsidRPr="0066046C">
        <w:rPr>
          <w:rFonts w:ascii="宋体" w:eastAsia="宋体" w:hAnsi="Times New Roman" w:hint="eastAsia"/>
          <w:color w:val="000000"/>
        </w:rPr>
        <w:t>澳大利亚悉尼大学，法律硕士</w:t>
      </w:r>
    </w:p>
    <w:p w14:paraId="482D1BB4" w14:textId="77777777" w:rsidR="0066046C" w:rsidRDefault="0066046C" w:rsidP="0066046C">
      <w:pPr>
        <w:pStyle w:val="af5"/>
        <w:numPr>
          <w:ilvl w:val="0"/>
          <w:numId w:val="37"/>
        </w:numPr>
        <w:spacing w:before="120"/>
        <w:ind w:left="690" w:hanging="240"/>
        <w:rPr>
          <w:rFonts w:ascii="宋体" w:eastAsia="宋体" w:hAnsi="Times New Roman"/>
          <w:color w:val="000000"/>
        </w:rPr>
      </w:pPr>
      <w:r w:rsidRPr="0066046C">
        <w:rPr>
          <w:rFonts w:ascii="宋体" w:eastAsia="宋体" w:hAnsi="Times New Roman" w:hint="eastAsia"/>
          <w:color w:val="000000"/>
        </w:rPr>
        <w:t>澳大利亚悉尼大学，法律学士</w:t>
      </w:r>
    </w:p>
    <w:p w14:paraId="5751382B" w14:textId="77777777" w:rsidR="0066046C" w:rsidRDefault="0066046C" w:rsidP="0066046C">
      <w:pPr>
        <w:pStyle w:val="af5"/>
        <w:numPr>
          <w:ilvl w:val="0"/>
          <w:numId w:val="38"/>
        </w:numPr>
        <w:spacing w:before="120"/>
        <w:ind w:left="690" w:hanging="240"/>
        <w:rPr>
          <w:rFonts w:ascii="宋体" w:eastAsia="宋体" w:hAnsi="Times New Roman"/>
          <w:color w:val="000000"/>
        </w:rPr>
      </w:pPr>
      <w:r w:rsidRPr="0066046C">
        <w:rPr>
          <w:rFonts w:ascii="宋体" w:eastAsia="宋体" w:hAnsi="Times New Roman" w:hint="eastAsia"/>
          <w:color w:val="000000"/>
        </w:rPr>
        <w:t>澳大利亚悉尼大学，商学学士</w:t>
      </w:r>
    </w:p>
    <w:p w14:paraId="74BB4F40" w14:textId="77777777" w:rsidR="0066046C" w:rsidRDefault="0066046C" w:rsidP="0066046C">
      <w:pPr>
        <w:pStyle w:val="af5"/>
        <w:spacing w:after="0" w:line="480" w:lineRule="auto"/>
        <w:rPr>
          <w:rFonts w:ascii="宋体" w:eastAsia="宋体" w:hAnsi="宋体"/>
          <w:b/>
          <w:sz w:val="24"/>
        </w:rPr>
      </w:pPr>
      <w:r w:rsidRPr="0066046C">
        <w:rPr>
          <w:rFonts w:ascii="宋体" w:eastAsia="宋体" w:hAnsi="宋体" w:hint="eastAsia"/>
          <w:b/>
          <w:sz w:val="24"/>
        </w:rPr>
        <w:t>执业资格</w:t>
      </w:r>
    </w:p>
    <w:p w14:paraId="40BD2B26" w14:textId="77777777" w:rsidR="0066046C" w:rsidRDefault="0066046C" w:rsidP="0066046C">
      <w:pPr>
        <w:pStyle w:val="af5"/>
        <w:numPr>
          <w:ilvl w:val="0"/>
          <w:numId w:val="39"/>
        </w:numPr>
        <w:spacing w:before="120"/>
        <w:ind w:left="690" w:hanging="240"/>
        <w:rPr>
          <w:rFonts w:ascii="宋体" w:eastAsia="宋体" w:hAnsi="Times New Roman"/>
          <w:color w:val="000000"/>
        </w:rPr>
      </w:pPr>
      <w:r w:rsidRPr="0066046C">
        <w:rPr>
          <w:rFonts w:ascii="宋体" w:eastAsia="宋体" w:hAnsi="Times New Roman" w:hint="eastAsia"/>
          <w:color w:val="000000"/>
        </w:rPr>
        <w:t>澳大利亚新南威尔士州执业律师资格</w:t>
      </w:r>
    </w:p>
    <w:p w14:paraId="2B34E727" w14:textId="77777777" w:rsidR="0066046C" w:rsidRDefault="0066046C" w:rsidP="0066046C">
      <w:pPr>
        <w:pStyle w:val="af5"/>
        <w:numPr>
          <w:ilvl w:val="0"/>
          <w:numId w:val="40"/>
        </w:numPr>
        <w:spacing w:before="120"/>
        <w:ind w:left="690" w:hanging="240"/>
        <w:rPr>
          <w:rFonts w:ascii="宋体" w:eastAsia="宋体" w:hAnsi="Times New Roman"/>
          <w:color w:val="000000"/>
        </w:rPr>
      </w:pPr>
      <w:r w:rsidRPr="0066046C">
        <w:rPr>
          <w:rFonts w:ascii="宋体" w:eastAsia="宋体" w:hAnsi="Times New Roman" w:hint="eastAsia"/>
          <w:color w:val="000000"/>
        </w:rPr>
        <w:t>香港特别行政区执业律师资格</w:t>
      </w:r>
    </w:p>
    <w:p w14:paraId="30660676" w14:textId="77777777" w:rsidR="0066046C" w:rsidRDefault="0066046C" w:rsidP="0066046C">
      <w:pPr>
        <w:pStyle w:val="af5"/>
        <w:spacing w:after="0" w:line="480" w:lineRule="auto"/>
        <w:rPr>
          <w:rFonts w:ascii="宋体" w:eastAsia="宋体" w:hAnsi="宋体"/>
          <w:b/>
          <w:sz w:val="24"/>
        </w:rPr>
      </w:pPr>
      <w:r w:rsidRPr="0066046C">
        <w:rPr>
          <w:rFonts w:ascii="宋体" w:eastAsia="宋体" w:hAnsi="宋体" w:hint="eastAsia"/>
          <w:b/>
          <w:sz w:val="24"/>
        </w:rPr>
        <w:t>工作语言</w:t>
      </w:r>
    </w:p>
    <w:p w14:paraId="74385EEE" w14:textId="77777777" w:rsidR="0066046C" w:rsidRDefault="0066046C" w:rsidP="0066046C">
      <w:pPr>
        <w:pStyle w:val="af5"/>
        <w:numPr>
          <w:ilvl w:val="0"/>
          <w:numId w:val="41"/>
        </w:numPr>
        <w:spacing w:before="120"/>
        <w:ind w:left="690" w:hanging="240"/>
        <w:rPr>
          <w:rFonts w:ascii="宋体" w:eastAsia="宋体" w:hAnsi="Times New Roman"/>
          <w:color w:val="000000"/>
        </w:rPr>
      </w:pPr>
      <w:r w:rsidRPr="0066046C">
        <w:rPr>
          <w:rFonts w:ascii="宋体" w:eastAsia="宋体" w:hAnsi="Times New Roman" w:hint="eastAsia"/>
          <w:color w:val="000000"/>
        </w:rPr>
        <w:t>普通话</w:t>
      </w:r>
    </w:p>
    <w:p w14:paraId="65001B39" w14:textId="77777777" w:rsidR="0066046C" w:rsidRDefault="0066046C" w:rsidP="0066046C">
      <w:pPr>
        <w:pStyle w:val="af5"/>
        <w:numPr>
          <w:ilvl w:val="0"/>
          <w:numId w:val="42"/>
        </w:numPr>
        <w:spacing w:before="120"/>
        <w:ind w:left="690" w:hanging="240"/>
        <w:rPr>
          <w:rFonts w:ascii="宋体" w:eastAsia="宋体" w:hAnsi="Times New Roman"/>
          <w:color w:val="000000"/>
        </w:rPr>
      </w:pPr>
      <w:r w:rsidRPr="0066046C">
        <w:rPr>
          <w:rFonts w:ascii="宋体" w:eastAsia="宋体" w:hAnsi="Times New Roman" w:hint="eastAsia"/>
          <w:color w:val="000000"/>
        </w:rPr>
        <w:t>粤语</w:t>
      </w:r>
    </w:p>
    <w:p w14:paraId="6FEA903E" w14:textId="77777777" w:rsidR="0066046C" w:rsidRDefault="0066046C" w:rsidP="0066046C">
      <w:pPr>
        <w:pStyle w:val="af5"/>
        <w:numPr>
          <w:ilvl w:val="0"/>
          <w:numId w:val="43"/>
        </w:numPr>
        <w:spacing w:before="120"/>
        <w:ind w:left="690" w:hanging="240"/>
        <w:rPr>
          <w:rFonts w:ascii="宋体" w:eastAsia="宋体" w:hAnsi="Times New Roman"/>
          <w:color w:val="000000"/>
        </w:rPr>
      </w:pPr>
      <w:r w:rsidRPr="0066046C">
        <w:rPr>
          <w:rFonts w:ascii="宋体" w:eastAsia="宋体" w:hAnsi="Times New Roman" w:hint="eastAsia"/>
          <w:color w:val="000000"/>
        </w:rPr>
        <w:t>英语</w:t>
      </w:r>
    </w:p>
    <w:p w14:paraId="6D4264B6" w14:textId="77777777" w:rsidR="0066046C" w:rsidRDefault="0066046C" w:rsidP="0066046C">
      <w:pPr>
        <w:pStyle w:val="af5"/>
        <w:spacing w:after="0" w:line="480" w:lineRule="auto"/>
        <w:rPr>
          <w:rFonts w:ascii="宋体" w:eastAsia="宋体" w:hAnsi="宋体"/>
          <w:b/>
          <w:sz w:val="24"/>
        </w:rPr>
      </w:pPr>
      <w:r w:rsidRPr="0066046C">
        <w:rPr>
          <w:rFonts w:ascii="宋体" w:eastAsia="宋体" w:hAnsi="宋体" w:hint="eastAsia"/>
          <w:b/>
          <w:sz w:val="24"/>
        </w:rPr>
        <w:t>职业背景</w:t>
      </w:r>
    </w:p>
    <w:p w14:paraId="4F0A196B" w14:textId="271E99DF" w:rsidR="00A46A04" w:rsidRPr="0066046C" w:rsidRDefault="0066046C" w:rsidP="0066046C">
      <w:pPr>
        <w:pStyle w:val="af5"/>
        <w:numPr>
          <w:ilvl w:val="0"/>
          <w:numId w:val="44"/>
        </w:numPr>
        <w:spacing w:before="120"/>
        <w:ind w:left="690" w:hanging="240"/>
        <w:rPr>
          <w:rFonts w:ascii="宋体" w:eastAsia="宋体" w:hAnsi="Times New Roman"/>
          <w:color w:val="000000"/>
        </w:rPr>
      </w:pPr>
      <w:r w:rsidRPr="0066046C">
        <w:rPr>
          <w:rFonts w:ascii="宋体" w:eastAsia="宋体" w:hAnsi="Times New Roman" w:hint="eastAsia"/>
          <w:color w:val="000000"/>
        </w:rPr>
        <w:t>在加入方达律师事务所之前，陈律师曾于多间国际知名的律师事务所工作，包括年利达、英国博闻律师事务所（香港）以及的近澳大利亚（即现在的诺顿罗氏富布莱特澳大利亚）。</w:t>
      </w:r>
    </w:p>
    <w:sectPr w:rsidR="00A46A04" w:rsidRPr="0066046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04D30"/>
    <w:multiLevelType w:val="singleLevel"/>
    <w:tmpl w:val="3D9A8F1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2100D9"/>
    <w:multiLevelType w:val="singleLevel"/>
    <w:tmpl w:val="7A56B0C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0A133E"/>
    <w:multiLevelType w:val="singleLevel"/>
    <w:tmpl w:val="52C0270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605AF6"/>
    <w:multiLevelType w:val="singleLevel"/>
    <w:tmpl w:val="3192F53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D229EC"/>
    <w:multiLevelType w:val="singleLevel"/>
    <w:tmpl w:val="5148C38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8829C0"/>
    <w:multiLevelType w:val="singleLevel"/>
    <w:tmpl w:val="9176D46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E80EC6"/>
    <w:multiLevelType w:val="singleLevel"/>
    <w:tmpl w:val="D1645FB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373072"/>
    <w:multiLevelType w:val="singleLevel"/>
    <w:tmpl w:val="88F23E9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577AE4"/>
    <w:multiLevelType w:val="singleLevel"/>
    <w:tmpl w:val="A8D810C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4D2A37"/>
    <w:multiLevelType w:val="singleLevel"/>
    <w:tmpl w:val="B0A0768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B45C44"/>
    <w:multiLevelType w:val="singleLevel"/>
    <w:tmpl w:val="B80298A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9218C5"/>
    <w:multiLevelType w:val="singleLevel"/>
    <w:tmpl w:val="2E9A12C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2F737BDD"/>
    <w:multiLevelType w:val="singleLevel"/>
    <w:tmpl w:val="17789D4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4927980"/>
    <w:multiLevelType w:val="singleLevel"/>
    <w:tmpl w:val="6000557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BA4500"/>
    <w:multiLevelType w:val="singleLevel"/>
    <w:tmpl w:val="AC4C91E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F5C7AB1"/>
    <w:multiLevelType w:val="singleLevel"/>
    <w:tmpl w:val="13B0BC3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AC6C20"/>
    <w:multiLevelType w:val="singleLevel"/>
    <w:tmpl w:val="61F435A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9A2FB6"/>
    <w:multiLevelType w:val="singleLevel"/>
    <w:tmpl w:val="85F22F0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8BB723D"/>
    <w:multiLevelType w:val="singleLevel"/>
    <w:tmpl w:val="815E946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A8F2549"/>
    <w:multiLevelType w:val="singleLevel"/>
    <w:tmpl w:val="D82EFEA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CFD4F1B"/>
    <w:multiLevelType w:val="singleLevel"/>
    <w:tmpl w:val="02EEBA1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12956FE"/>
    <w:multiLevelType w:val="singleLevel"/>
    <w:tmpl w:val="B860A96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1CC4C09"/>
    <w:multiLevelType w:val="singleLevel"/>
    <w:tmpl w:val="334443E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1FF733D"/>
    <w:multiLevelType w:val="singleLevel"/>
    <w:tmpl w:val="86D4F19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AFB2123"/>
    <w:multiLevelType w:val="singleLevel"/>
    <w:tmpl w:val="8F70387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CFF70AF"/>
    <w:multiLevelType w:val="singleLevel"/>
    <w:tmpl w:val="329A9E8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D6B21E4"/>
    <w:multiLevelType w:val="singleLevel"/>
    <w:tmpl w:val="621AE52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EE957F2"/>
    <w:multiLevelType w:val="singleLevel"/>
    <w:tmpl w:val="5664B11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1E30545"/>
    <w:multiLevelType w:val="singleLevel"/>
    <w:tmpl w:val="5AA62EC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2A40AC8"/>
    <w:multiLevelType w:val="singleLevel"/>
    <w:tmpl w:val="5B4CC86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6685F2D"/>
    <w:multiLevelType w:val="singleLevel"/>
    <w:tmpl w:val="B80298A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76A0AE3"/>
    <w:multiLevelType w:val="singleLevel"/>
    <w:tmpl w:val="5128C3F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7B14A90"/>
    <w:multiLevelType w:val="singleLevel"/>
    <w:tmpl w:val="52BA225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8AB29EB"/>
    <w:multiLevelType w:val="singleLevel"/>
    <w:tmpl w:val="1040A74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96C1EC3"/>
    <w:multiLevelType w:val="singleLevel"/>
    <w:tmpl w:val="8B48CE3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A22749"/>
    <w:multiLevelType w:val="singleLevel"/>
    <w:tmpl w:val="7520E9C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CBF2C5E"/>
    <w:multiLevelType w:val="singleLevel"/>
    <w:tmpl w:val="E5CC5F7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2FE511A"/>
    <w:multiLevelType w:val="singleLevel"/>
    <w:tmpl w:val="FFC8204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462175A"/>
    <w:multiLevelType w:val="singleLevel"/>
    <w:tmpl w:val="F32ED9C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5675370"/>
    <w:multiLevelType w:val="singleLevel"/>
    <w:tmpl w:val="69F67BE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5D54E02"/>
    <w:multiLevelType w:val="singleLevel"/>
    <w:tmpl w:val="6768570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A847B28"/>
    <w:multiLevelType w:val="singleLevel"/>
    <w:tmpl w:val="0310CFF4"/>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21"/>
  </w:num>
  <w:num w:numId="4">
    <w:abstractNumId w:val="31"/>
  </w:num>
  <w:num w:numId="5">
    <w:abstractNumId w:val="20"/>
  </w:num>
  <w:num w:numId="6">
    <w:abstractNumId w:val="0"/>
  </w:num>
  <w:num w:numId="7">
    <w:abstractNumId w:val="26"/>
  </w:num>
  <w:num w:numId="8">
    <w:abstractNumId w:val="19"/>
  </w:num>
  <w:num w:numId="9">
    <w:abstractNumId w:val="3"/>
  </w:num>
  <w:num w:numId="10">
    <w:abstractNumId w:val="28"/>
  </w:num>
  <w:num w:numId="11">
    <w:abstractNumId w:val="4"/>
  </w:num>
  <w:num w:numId="12">
    <w:abstractNumId w:val="38"/>
  </w:num>
  <w:num w:numId="13">
    <w:abstractNumId w:val="2"/>
  </w:num>
  <w:num w:numId="14">
    <w:abstractNumId w:val="14"/>
  </w:num>
  <w:num w:numId="15">
    <w:abstractNumId w:val="15"/>
  </w:num>
  <w:num w:numId="16">
    <w:abstractNumId w:val="37"/>
  </w:num>
  <w:num w:numId="17">
    <w:abstractNumId w:val="8"/>
  </w:num>
  <w:num w:numId="18">
    <w:abstractNumId w:val="40"/>
  </w:num>
  <w:num w:numId="19">
    <w:abstractNumId w:val="7"/>
  </w:num>
  <w:num w:numId="20">
    <w:abstractNumId w:val="27"/>
  </w:num>
  <w:num w:numId="21">
    <w:abstractNumId w:val="35"/>
  </w:num>
  <w:num w:numId="22">
    <w:abstractNumId w:val="30"/>
  </w:num>
  <w:num w:numId="23">
    <w:abstractNumId w:val="1"/>
  </w:num>
  <w:num w:numId="24">
    <w:abstractNumId w:val="41"/>
  </w:num>
  <w:num w:numId="25">
    <w:abstractNumId w:val="23"/>
  </w:num>
  <w:num w:numId="26">
    <w:abstractNumId w:val="39"/>
  </w:num>
  <w:num w:numId="27">
    <w:abstractNumId w:val="24"/>
  </w:num>
  <w:num w:numId="28">
    <w:abstractNumId w:val="6"/>
  </w:num>
  <w:num w:numId="29">
    <w:abstractNumId w:val="36"/>
  </w:num>
  <w:num w:numId="30">
    <w:abstractNumId w:val="42"/>
  </w:num>
  <w:num w:numId="31">
    <w:abstractNumId w:val="11"/>
  </w:num>
  <w:num w:numId="32">
    <w:abstractNumId w:val="43"/>
  </w:num>
  <w:num w:numId="33">
    <w:abstractNumId w:val="9"/>
  </w:num>
  <w:num w:numId="34">
    <w:abstractNumId w:val="17"/>
  </w:num>
  <w:num w:numId="35">
    <w:abstractNumId w:val="33"/>
  </w:num>
  <w:num w:numId="36">
    <w:abstractNumId w:val="13"/>
  </w:num>
  <w:num w:numId="37">
    <w:abstractNumId w:val="22"/>
  </w:num>
  <w:num w:numId="38">
    <w:abstractNumId w:val="29"/>
  </w:num>
  <w:num w:numId="39">
    <w:abstractNumId w:val="25"/>
  </w:num>
  <w:num w:numId="40">
    <w:abstractNumId w:val="5"/>
  </w:num>
  <w:num w:numId="41">
    <w:abstractNumId w:val="18"/>
  </w:num>
  <w:num w:numId="42">
    <w:abstractNumId w:val="34"/>
  </w:num>
  <w:num w:numId="43">
    <w:abstractNumId w:val="10"/>
  </w:num>
  <w:num w:numId="4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6046C"/>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6046C"/>
    <w:pPr>
      <w:spacing w:after="120"/>
    </w:pPr>
  </w:style>
  <w:style w:type="character" w:customStyle="1" w:styleId="af6">
    <w:name w:val="正文文本 字符"/>
    <w:basedOn w:val="a0"/>
    <w:link w:val="af5"/>
    <w:uiPriority w:val="99"/>
    <w:rsid w:val="0066046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CAEA0-D7FA-48C2-A359-2F85FDB93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339</Words>
  <Characters>1936</Characters>
  <Application>Microsoft Office Word</Application>
  <DocSecurity>0</DocSecurity>
  <Lines>16</Lines>
  <Paragraphs>4</Paragraphs>
  <ScaleCrop>false</ScaleCrop>
  <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2026-04-29T23:25:00Z</dcterms:created>
  <dcterms:modified xsi:type="dcterms:W3CDTF">2026-04-29T23:25:00Z</dcterms:modified>
</cp:coreProperties>
</file>