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4110053" w:rsidR="0049405C" w:rsidRPr="00187BAA" w:rsidRDefault="00C85DD3" w:rsidP="00C85DD3">
            <w:pPr>
              <w:spacing w:line="720" w:lineRule="auto"/>
              <w:rPr>
                <w:rFonts w:ascii="宋体" w:eastAsia="宋体" w:hAnsi="宋体"/>
                <w:color w:val="545551"/>
              </w:rPr>
            </w:pPr>
            <w:bookmarkStart w:id="0" w:name="xingming"/>
            <w:bookmarkStart w:id="1" w:name="_GoBack"/>
            <w:bookmarkEnd w:id="1"/>
            <w:r w:rsidRPr="00C85DD3">
              <w:rPr>
                <w:rFonts w:ascii="宋体" w:eastAsia="宋体" w:hAnsi="Times New Roman" w:hint="eastAsia"/>
                <w:b/>
                <w:color w:val="000000"/>
                <w:sz w:val="48"/>
              </w:rPr>
              <w:t>陈昭明</w:t>
            </w:r>
            <w:bookmarkEnd w:id="0"/>
          </w:p>
          <w:p w14:paraId="706EB16B" w14:textId="5B46529B" w:rsidR="0049405C" w:rsidRPr="00187BAA" w:rsidRDefault="00C85DD3" w:rsidP="00C85DD3">
            <w:pPr>
              <w:spacing w:line="360" w:lineRule="auto"/>
              <w:rPr>
                <w:rFonts w:ascii="宋体" w:eastAsia="宋体" w:hAnsi="宋体"/>
                <w:b/>
                <w:bCs/>
                <w:color w:val="545551"/>
              </w:rPr>
            </w:pPr>
            <w:bookmarkStart w:id="2" w:name="didian"/>
            <w:r w:rsidRPr="00C85DD3">
              <w:rPr>
                <w:rFonts w:ascii="宋体" w:eastAsia="宋体" w:hAnsi="Times New Roman" w:hint="eastAsia"/>
                <w:b/>
                <w:bCs/>
                <w:color w:val="000000"/>
              </w:rPr>
              <w:t>合伙人·香港</w:t>
            </w:r>
            <w:bookmarkEnd w:id="2"/>
          </w:p>
          <w:p w14:paraId="6199424A" w14:textId="33DBF813" w:rsidR="0049405C" w:rsidRPr="00187BAA" w:rsidRDefault="00C85DD3" w:rsidP="00C85DD3">
            <w:pPr>
              <w:spacing w:line="360" w:lineRule="auto"/>
              <w:rPr>
                <w:rFonts w:ascii="宋体" w:eastAsia="宋体" w:hAnsi="宋体"/>
                <w:color w:val="545551"/>
              </w:rPr>
            </w:pPr>
            <w:bookmarkStart w:id="3" w:name="dianhua"/>
            <w:r w:rsidRPr="00C85DD3">
              <w:rPr>
                <w:rFonts w:ascii="宋体" w:eastAsia="宋体" w:hAnsi="Times New Roman"/>
                <w:color w:val="000000"/>
              </w:rPr>
              <w:t xml:space="preserve">+852 3749 1152 </w:t>
            </w:r>
            <w:bookmarkEnd w:id="3"/>
          </w:p>
          <w:p w14:paraId="4F910ACA" w14:textId="18C8BCBC" w:rsidR="0049405C" w:rsidRPr="00187BAA" w:rsidRDefault="00C85DD3" w:rsidP="00C85DD3">
            <w:pPr>
              <w:spacing w:line="360" w:lineRule="auto"/>
              <w:rPr>
                <w:rFonts w:ascii="宋体" w:eastAsia="宋体" w:hAnsi="宋体"/>
                <w:color w:val="000000"/>
              </w:rPr>
            </w:pPr>
            <w:bookmarkStart w:id="4" w:name="youxiang"/>
            <w:r w:rsidRPr="00C85DD3">
              <w:rPr>
                <w:rFonts w:ascii="宋体" w:eastAsia="宋体" w:hAnsi="Times New Roman"/>
                <w:color w:val="000000"/>
              </w:rPr>
              <w:t>peter.chen@fangdalaw.com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A590B65" w:rsidR="0049405C" w:rsidRPr="00187BAA" w:rsidRDefault="00C85DD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516F3E3" wp14:editId="1C6642D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7FD24E1" w:rsidR="009465FB" w:rsidRPr="00187BAA" w:rsidRDefault="00C85DD3" w:rsidP="007177F3">
            <w:pPr>
              <w:rPr>
                <w:rFonts w:ascii="宋体" w:eastAsia="宋体" w:hAnsi="宋体"/>
                <w:color w:val="000000"/>
                <w:szCs w:val="21"/>
              </w:rPr>
            </w:pPr>
            <w:bookmarkStart w:id="6" w:name="zhiyelingyu"/>
            <w:r w:rsidRPr="00C85DD3">
              <w:rPr>
                <w:rFonts w:ascii="宋体" w:eastAsia="宋体" w:hAnsi="Times New Roman" w:hint="eastAsia"/>
                <w:color w:val="000000"/>
                <w:szCs w:val="21"/>
              </w:rPr>
              <w:t>陈昭明律师是香港办事处的合伙人，他拥有高等法院律师执业资格。陈律师是资本市场事务、并购交易及企业融资交易专家，并参与经办了多宗在香港和伦敦进行的首次公开发行。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A053FDA" w14:textId="77777777" w:rsidR="00C85DD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874725F" w14:textId="77777777" w:rsidR="00C85DD3" w:rsidRDefault="00C85DD3" w:rsidP="00C85DD3">
      <w:pPr>
        <w:pStyle w:val="af5"/>
        <w:spacing w:before="120"/>
        <w:rPr>
          <w:rFonts w:ascii="宋体" w:eastAsia="宋体" w:hAnsi="Times New Roman"/>
          <w:color w:val="000000"/>
        </w:rPr>
      </w:pPr>
      <w:r w:rsidRPr="00C85DD3">
        <w:rPr>
          <w:rFonts w:ascii="宋体" w:eastAsia="宋体" w:hAnsi="Times New Roman" w:hint="eastAsia"/>
          <w:color w:val="000000"/>
        </w:rPr>
        <w:t>陈律师曾代表多家中国国有企业在香港的融资项目，在电信业，地产业及零售食品业具有相当丰富的经验。陈律师还是北京市青年联合会成员和香港地区召集人。陈律师经常被邀请作为由香港联交所、香港特许秘书公会和国务院港澳事务办公室主办的各种与上市规则相关的主题研讨会的演讲人。</w:t>
      </w:r>
    </w:p>
    <w:p w14:paraId="644092A0" w14:textId="77777777" w:rsidR="00C85DD3" w:rsidRDefault="00C85DD3" w:rsidP="00C85DD3">
      <w:pPr>
        <w:pStyle w:val="af5"/>
        <w:spacing w:before="120"/>
        <w:rPr>
          <w:rFonts w:ascii="宋体" w:eastAsia="宋体" w:hAnsi="Times New Roman"/>
          <w:color w:val="000000"/>
        </w:rPr>
      </w:pPr>
      <w:r w:rsidRPr="00C85DD3">
        <w:rPr>
          <w:rFonts w:ascii="宋体" w:eastAsia="宋体" w:hAnsi="Times New Roman" w:hint="eastAsia"/>
          <w:color w:val="000000"/>
        </w:rPr>
        <w:t>在国际权威的《钱伯斯与合伙人：钱伯斯亚洲指南排行榜》（</w:t>
      </w:r>
      <w:r w:rsidRPr="00C85DD3">
        <w:rPr>
          <w:rFonts w:ascii="宋体" w:eastAsia="宋体" w:hAnsi="Times New Roman"/>
          <w:color w:val="000000"/>
        </w:rPr>
        <w:t xml:space="preserve"> CHAMBERS AND PARTNERS: CHAMBERS ASIA GUIDE RANKINGS）及《国际金融法律评论1000佳》（IFLR1000）等主要律师名录中，陈律师被评为香港公司业务 /并购业务及资本市场业务杰出律师。</w:t>
      </w:r>
    </w:p>
    <w:p w14:paraId="4DF7D643" w14:textId="77777777" w:rsidR="00C85DD3" w:rsidRDefault="00C85DD3" w:rsidP="00C85DD3">
      <w:pPr>
        <w:pStyle w:val="af5"/>
        <w:spacing w:after="0" w:line="480" w:lineRule="auto"/>
        <w:rPr>
          <w:rFonts w:ascii="宋体" w:eastAsia="宋体" w:hAnsi="宋体"/>
          <w:b/>
          <w:sz w:val="24"/>
        </w:rPr>
      </w:pPr>
      <w:r w:rsidRPr="00C85DD3">
        <w:rPr>
          <w:rFonts w:ascii="宋体" w:eastAsia="宋体" w:hAnsi="宋体" w:hint="eastAsia"/>
          <w:b/>
          <w:sz w:val="24"/>
        </w:rPr>
        <w:t>近期代理的主要案件</w:t>
      </w:r>
    </w:p>
    <w:p w14:paraId="7F49E121" w14:textId="77777777" w:rsidR="00C85DD3" w:rsidRDefault="00C85DD3" w:rsidP="00C85DD3">
      <w:pPr>
        <w:pStyle w:val="af5"/>
        <w:spacing w:before="120"/>
        <w:rPr>
          <w:rFonts w:ascii="宋体" w:eastAsia="宋体" w:hAnsi="Times New Roman"/>
          <w:color w:val="000000"/>
        </w:rPr>
      </w:pPr>
      <w:r w:rsidRPr="00C85DD3">
        <w:rPr>
          <w:rFonts w:ascii="宋体" w:eastAsia="宋体" w:hAnsi="Times New Roman" w:hint="eastAsia"/>
          <w:color w:val="000000"/>
        </w:rPr>
        <w:t>上市项目</w:t>
      </w:r>
    </w:p>
    <w:p w14:paraId="4014CC6E" w14:textId="77777777" w:rsidR="00C85DD3" w:rsidRDefault="00C85DD3" w:rsidP="00C85DD3">
      <w:pPr>
        <w:pStyle w:val="af5"/>
        <w:numPr>
          <w:ilvl w:val="0"/>
          <w:numId w:val="4"/>
        </w:numPr>
        <w:spacing w:before="120"/>
        <w:ind w:left="690" w:hanging="240"/>
        <w:rPr>
          <w:rFonts w:ascii="宋体" w:eastAsia="宋体" w:hAnsi="Times New Roman"/>
          <w:color w:val="000000"/>
        </w:rPr>
      </w:pPr>
      <w:r w:rsidRPr="00C85DD3">
        <w:rPr>
          <w:rFonts w:ascii="宋体" w:eastAsia="宋体" w:hAnsi="Times New Roman" w:hint="eastAsia"/>
          <w:color w:val="000000"/>
        </w:rPr>
        <w:t>代表和美医疗控股有限公司（一家私立妇产科专科医院集团）经办其</w:t>
      </w:r>
      <w:r w:rsidRPr="00C85DD3">
        <w:rPr>
          <w:rFonts w:ascii="宋体" w:eastAsia="宋体" w:hAnsi="Times New Roman"/>
          <w:color w:val="000000"/>
        </w:rPr>
        <w:t>2.051亿美元（合15.9亿港元）的全球发行以及在香港联合交易所有限公司主板的首次上市</w:t>
      </w:r>
    </w:p>
    <w:p w14:paraId="2FA684FF" w14:textId="77777777" w:rsidR="00C85DD3" w:rsidRDefault="00C85DD3" w:rsidP="00C85DD3">
      <w:pPr>
        <w:pStyle w:val="af5"/>
        <w:numPr>
          <w:ilvl w:val="0"/>
          <w:numId w:val="5"/>
        </w:numPr>
        <w:spacing w:before="120"/>
        <w:ind w:left="690" w:hanging="240"/>
        <w:rPr>
          <w:rFonts w:ascii="宋体" w:eastAsia="宋体" w:hAnsi="Times New Roman"/>
          <w:color w:val="000000"/>
        </w:rPr>
      </w:pPr>
      <w:r w:rsidRPr="00C85DD3">
        <w:rPr>
          <w:rFonts w:ascii="宋体" w:eastAsia="宋体" w:hAnsi="Times New Roman" w:hint="eastAsia"/>
          <w:color w:val="000000"/>
        </w:rPr>
        <w:t>代表作为保荐人的中银国际亚洲有限公司及花旗环球金融亚洲有限公司经办伟能集团国际控股有限公司在香港联合交易所有限公司主板约</w:t>
      </w:r>
      <w:r w:rsidRPr="00C85DD3">
        <w:rPr>
          <w:rFonts w:ascii="宋体" w:eastAsia="宋体" w:hAnsi="Times New Roman"/>
          <w:color w:val="000000"/>
        </w:rPr>
        <w:t>2.08亿美元的第一上市及股份全球发售的事宜</w:t>
      </w:r>
    </w:p>
    <w:p w14:paraId="5C7BA527" w14:textId="77777777" w:rsidR="00C85DD3" w:rsidRDefault="00C85DD3" w:rsidP="00C85DD3">
      <w:pPr>
        <w:pStyle w:val="af5"/>
        <w:numPr>
          <w:ilvl w:val="0"/>
          <w:numId w:val="6"/>
        </w:numPr>
        <w:spacing w:before="120"/>
        <w:ind w:left="690" w:hanging="240"/>
        <w:rPr>
          <w:rFonts w:ascii="宋体" w:eastAsia="宋体" w:hAnsi="Times New Roman"/>
          <w:color w:val="000000"/>
        </w:rPr>
      </w:pPr>
      <w:r w:rsidRPr="00C85DD3">
        <w:rPr>
          <w:rFonts w:ascii="宋体" w:eastAsia="宋体" w:hAnsi="Times New Roman" w:hint="eastAsia"/>
          <w:color w:val="000000"/>
        </w:rPr>
        <w:t>代表作为承销商的摩根士丹利、法国巴黎银行证券及联昌国际证券经办高伟电子控股有限公司约</w:t>
      </w:r>
      <w:r w:rsidRPr="00C85DD3">
        <w:rPr>
          <w:rFonts w:ascii="宋体" w:eastAsia="宋体" w:hAnsi="Times New Roman"/>
          <w:color w:val="000000"/>
        </w:rPr>
        <w:t>1.15亿美元在香港联交所主板进行的第一上市和普通股全球发售的事宜</w:t>
      </w:r>
    </w:p>
    <w:p w14:paraId="0528D859" w14:textId="77777777" w:rsidR="00C85DD3" w:rsidRDefault="00C85DD3" w:rsidP="00C85DD3">
      <w:pPr>
        <w:pStyle w:val="af5"/>
        <w:numPr>
          <w:ilvl w:val="0"/>
          <w:numId w:val="7"/>
        </w:numPr>
        <w:spacing w:before="120"/>
        <w:ind w:left="690" w:hanging="240"/>
        <w:rPr>
          <w:rFonts w:ascii="宋体" w:eastAsia="宋体" w:hAnsi="Times New Roman"/>
          <w:color w:val="000000"/>
        </w:rPr>
      </w:pPr>
      <w:r w:rsidRPr="00C85DD3">
        <w:rPr>
          <w:rFonts w:ascii="宋体" w:eastAsia="宋体" w:hAnsi="Times New Roman" w:hint="eastAsia"/>
          <w:color w:val="000000"/>
        </w:rPr>
        <w:t>代表澳门领先的娱乐场及娱乐场博彩设施拥有者之一澳门励骏创建有限公司经办其</w:t>
      </w:r>
      <w:r w:rsidRPr="00C85DD3">
        <w:rPr>
          <w:rFonts w:ascii="宋体" w:eastAsia="宋体" w:hAnsi="Times New Roman"/>
          <w:color w:val="000000"/>
        </w:rPr>
        <w:t>2.82亿美元股份全球发行及在香港联交所主板上市的有关事宜代表五洲国际控股有限公司经办其2亿美元在香港的首次公开发行事</w:t>
      </w:r>
    </w:p>
    <w:p w14:paraId="746F594E" w14:textId="77777777" w:rsidR="00C85DD3" w:rsidRDefault="00C85DD3" w:rsidP="00C85DD3">
      <w:pPr>
        <w:pStyle w:val="af5"/>
        <w:numPr>
          <w:ilvl w:val="0"/>
          <w:numId w:val="8"/>
        </w:numPr>
        <w:spacing w:before="120"/>
        <w:ind w:left="690" w:hanging="240"/>
        <w:rPr>
          <w:rFonts w:ascii="宋体" w:eastAsia="宋体" w:hAnsi="Times New Roman"/>
          <w:color w:val="000000"/>
        </w:rPr>
      </w:pPr>
      <w:r w:rsidRPr="00C85DD3">
        <w:rPr>
          <w:rFonts w:ascii="宋体" w:eastAsia="宋体" w:hAnsi="Times New Roman" w:hint="eastAsia"/>
          <w:color w:val="000000"/>
        </w:rPr>
        <w:t>代表新晨中国动力控股有限公司经办其</w:t>
      </w:r>
      <w:r w:rsidRPr="00C85DD3">
        <w:rPr>
          <w:rFonts w:ascii="宋体" w:eastAsia="宋体" w:hAnsi="Times New Roman"/>
          <w:color w:val="000000"/>
        </w:rPr>
        <w:t>7亿港元在香港公开发售和全球发行事宜</w:t>
      </w:r>
    </w:p>
    <w:p w14:paraId="7BAC95DA" w14:textId="77777777" w:rsidR="00C85DD3" w:rsidRDefault="00C85DD3" w:rsidP="00C85DD3">
      <w:pPr>
        <w:pStyle w:val="af5"/>
        <w:numPr>
          <w:ilvl w:val="0"/>
          <w:numId w:val="9"/>
        </w:numPr>
        <w:spacing w:before="120"/>
        <w:ind w:left="690" w:hanging="240"/>
        <w:rPr>
          <w:rFonts w:ascii="宋体" w:eastAsia="宋体" w:hAnsi="Times New Roman"/>
          <w:color w:val="000000"/>
        </w:rPr>
      </w:pPr>
      <w:r w:rsidRPr="00C85DD3">
        <w:rPr>
          <w:rFonts w:ascii="宋体" w:eastAsia="宋体" w:hAnsi="Times New Roman" w:hint="eastAsia"/>
          <w:color w:val="000000"/>
        </w:rPr>
        <w:t>代表摩根士丹利经办华油能源集团</w:t>
      </w:r>
      <w:r w:rsidRPr="00C85DD3">
        <w:rPr>
          <w:rFonts w:ascii="宋体" w:eastAsia="宋体" w:hAnsi="Times New Roman"/>
          <w:color w:val="000000"/>
        </w:rPr>
        <w:t>7千万美元的首次公开发行，以及在香港联合交易所上市</w:t>
      </w:r>
    </w:p>
    <w:p w14:paraId="18E4A089" w14:textId="77777777" w:rsidR="00C85DD3" w:rsidRDefault="00C85DD3" w:rsidP="00C85DD3">
      <w:pPr>
        <w:pStyle w:val="af5"/>
        <w:numPr>
          <w:ilvl w:val="0"/>
          <w:numId w:val="10"/>
        </w:numPr>
        <w:spacing w:before="120"/>
        <w:ind w:left="690" w:hanging="240"/>
        <w:rPr>
          <w:rFonts w:ascii="宋体" w:eastAsia="宋体" w:hAnsi="Times New Roman"/>
          <w:color w:val="000000"/>
        </w:rPr>
      </w:pPr>
      <w:r w:rsidRPr="00C85DD3">
        <w:rPr>
          <w:rFonts w:ascii="宋体" w:eastAsia="宋体" w:hAnsi="Times New Roman" w:hint="eastAsia"/>
          <w:color w:val="000000"/>
        </w:rPr>
        <w:t>代表花旗集团作为独家保荐人经办中国多金属矿业有限公司的根据</w:t>
      </w:r>
      <w:r w:rsidRPr="00C85DD3">
        <w:rPr>
          <w:rFonts w:ascii="宋体" w:eastAsia="宋体" w:hAnsi="Times New Roman"/>
          <w:color w:val="000000"/>
        </w:rPr>
        <w:t>144A规则／S条例进行的1.42亿美元的香港联交所股份首次公开发行</w:t>
      </w:r>
    </w:p>
    <w:p w14:paraId="269BAE55" w14:textId="77777777" w:rsidR="00C85DD3" w:rsidRDefault="00C85DD3" w:rsidP="00C85DD3">
      <w:pPr>
        <w:pStyle w:val="af5"/>
        <w:numPr>
          <w:ilvl w:val="0"/>
          <w:numId w:val="11"/>
        </w:numPr>
        <w:spacing w:before="120"/>
        <w:ind w:left="690" w:hanging="240"/>
        <w:rPr>
          <w:rFonts w:ascii="宋体" w:eastAsia="宋体" w:hAnsi="Times New Roman"/>
          <w:color w:val="000000"/>
        </w:rPr>
      </w:pPr>
      <w:r w:rsidRPr="00C85DD3">
        <w:rPr>
          <w:rFonts w:ascii="宋体" w:eastAsia="宋体" w:hAnsi="Times New Roman" w:hint="eastAsia"/>
          <w:color w:val="000000"/>
        </w:rPr>
        <w:t>代表纳斯达克上市的新濠博亚娱乐有限公司经办其以介绍形式在香港联交所主板取得两地第一上市的地位</w:t>
      </w:r>
    </w:p>
    <w:p w14:paraId="4EB17ECA" w14:textId="77777777" w:rsidR="00C85DD3" w:rsidRDefault="00C85DD3" w:rsidP="00C85DD3">
      <w:pPr>
        <w:pStyle w:val="af5"/>
        <w:numPr>
          <w:ilvl w:val="0"/>
          <w:numId w:val="12"/>
        </w:numPr>
        <w:spacing w:before="120"/>
        <w:ind w:left="690" w:hanging="240"/>
        <w:rPr>
          <w:rFonts w:ascii="宋体" w:eastAsia="宋体" w:hAnsi="Times New Roman"/>
          <w:color w:val="000000"/>
        </w:rPr>
      </w:pPr>
      <w:r w:rsidRPr="00C85DD3">
        <w:rPr>
          <w:rFonts w:ascii="宋体" w:eastAsia="宋体" w:hAnsi="Times New Roman" w:hint="eastAsia"/>
          <w:color w:val="000000"/>
        </w:rPr>
        <w:t>代表由中国国际金融有限公司、高盛、摩根大通、摩根士丹利、中银国际及瑞信牵头的承销商经办长沙中联重工科技发展股份有限公司</w:t>
      </w:r>
      <w:r w:rsidRPr="00C85DD3">
        <w:rPr>
          <w:rFonts w:ascii="宋体" w:eastAsia="宋体" w:hAnsi="Times New Roman"/>
          <w:color w:val="000000"/>
        </w:rPr>
        <w:t>17亿美元的全球发售及其股票在香港联交所主板上市的事宜</w:t>
      </w:r>
    </w:p>
    <w:p w14:paraId="0FF11851" w14:textId="77777777" w:rsidR="00C85DD3" w:rsidRDefault="00C85DD3" w:rsidP="00C85DD3">
      <w:pPr>
        <w:pStyle w:val="af5"/>
        <w:numPr>
          <w:ilvl w:val="0"/>
          <w:numId w:val="13"/>
        </w:numPr>
        <w:spacing w:before="120"/>
        <w:ind w:left="690" w:hanging="240"/>
        <w:rPr>
          <w:rFonts w:ascii="宋体" w:eastAsia="宋体" w:hAnsi="Times New Roman"/>
          <w:color w:val="000000"/>
        </w:rPr>
      </w:pPr>
      <w:r w:rsidRPr="00C85DD3">
        <w:rPr>
          <w:rFonts w:ascii="宋体" w:eastAsia="宋体" w:hAnsi="Times New Roman" w:hint="eastAsia"/>
          <w:color w:val="000000"/>
        </w:rPr>
        <w:t>代表独家保荐人麦格理经办中国动物保健品以介绍形式在香港联合交易所主板上市的事宜</w:t>
      </w:r>
    </w:p>
    <w:p w14:paraId="4CD07B68" w14:textId="77777777" w:rsidR="00C85DD3" w:rsidRDefault="00C85DD3" w:rsidP="00C85DD3">
      <w:pPr>
        <w:pStyle w:val="af5"/>
        <w:numPr>
          <w:ilvl w:val="0"/>
          <w:numId w:val="14"/>
        </w:numPr>
        <w:spacing w:before="120"/>
        <w:ind w:left="690" w:hanging="240"/>
        <w:rPr>
          <w:rFonts w:ascii="宋体" w:eastAsia="宋体" w:hAnsi="Times New Roman"/>
          <w:color w:val="000000"/>
        </w:rPr>
      </w:pPr>
      <w:r w:rsidRPr="00C85DD3">
        <w:rPr>
          <w:rFonts w:ascii="宋体" w:eastAsia="宋体" w:hAnsi="Times New Roman" w:hint="eastAsia"/>
          <w:color w:val="000000"/>
        </w:rPr>
        <w:t>代表摩根大通集团、中银国际及德意志银行经办</w:t>
      </w:r>
      <w:r w:rsidRPr="00C85DD3">
        <w:rPr>
          <w:rFonts w:ascii="宋体" w:eastAsia="宋体" w:hAnsi="Times New Roman"/>
          <w:color w:val="000000"/>
        </w:rPr>
        <w:t>MI能源控股有限公司11亿元港币的全球发售及其股票在香港联交所主板上市的事宜</w:t>
      </w:r>
    </w:p>
    <w:p w14:paraId="30C9F56A" w14:textId="77777777" w:rsidR="00C85DD3" w:rsidRDefault="00C85DD3" w:rsidP="00C85DD3">
      <w:pPr>
        <w:pStyle w:val="af5"/>
        <w:numPr>
          <w:ilvl w:val="0"/>
          <w:numId w:val="15"/>
        </w:numPr>
        <w:spacing w:before="120"/>
        <w:ind w:left="690" w:hanging="240"/>
        <w:rPr>
          <w:rFonts w:ascii="宋体" w:eastAsia="宋体" w:hAnsi="Times New Roman"/>
          <w:color w:val="000000"/>
        </w:rPr>
      </w:pPr>
      <w:r w:rsidRPr="00C85DD3">
        <w:rPr>
          <w:rFonts w:ascii="宋体" w:eastAsia="宋体" w:hAnsi="Times New Roman" w:hint="eastAsia"/>
          <w:color w:val="000000"/>
        </w:rPr>
        <w:t>代表承销商德意志银行及美林经办的明发集团</w:t>
      </w:r>
      <w:r w:rsidRPr="00C85DD3">
        <w:rPr>
          <w:rFonts w:ascii="宋体" w:eastAsia="宋体" w:hAnsi="Times New Roman"/>
          <w:color w:val="000000"/>
        </w:rPr>
        <w:t>6亿美元的全球发行及其股份在香港联交所主板上市</w:t>
      </w:r>
    </w:p>
    <w:p w14:paraId="1D13368C" w14:textId="77777777" w:rsidR="00C85DD3" w:rsidRDefault="00C85DD3" w:rsidP="00C85DD3">
      <w:pPr>
        <w:pStyle w:val="af5"/>
        <w:numPr>
          <w:ilvl w:val="0"/>
          <w:numId w:val="16"/>
        </w:numPr>
        <w:spacing w:before="120"/>
        <w:ind w:left="690" w:hanging="240"/>
        <w:rPr>
          <w:rFonts w:ascii="宋体" w:eastAsia="宋体" w:hAnsi="Times New Roman"/>
          <w:color w:val="000000"/>
        </w:rPr>
      </w:pPr>
      <w:r w:rsidRPr="00C85DD3">
        <w:rPr>
          <w:rFonts w:ascii="宋体" w:eastAsia="宋体" w:hAnsi="Times New Roman" w:hint="eastAsia"/>
          <w:color w:val="000000"/>
        </w:rPr>
        <w:t>代表</w:t>
      </w:r>
      <w:r w:rsidRPr="00C85DD3">
        <w:rPr>
          <w:rFonts w:ascii="宋体" w:eastAsia="宋体" w:hAnsi="Times New Roman"/>
          <w:color w:val="000000"/>
        </w:rPr>
        <w:t>NIDERA B.V.（一家荷兰粮食贸易商）经办其向中粮集团公司的子公司中粮集团（香港）有限公司出售多数股权的有关事宜</w:t>
      </w:r>
    </w:p>
    <w:p w14:paraId="5D7E094E" w14:textId="77777777" w:rsidR="00C85DD3" w:rsidRDefault="00C85DD3" w:rsidP="00C85DD3">
      <w:pPr>
        <w:pStyle w:val="af5"/>
        <w:numPr>
          <w:ilvl w:val="0"/>
          <w:numId w:val="17"/>
        </w:numPr>
        <w:spacing w:before="120"/>
        <w:ind w:left="690" w:hanging="240"/>
        <w:rPr>
          <w:rFonts w:ascii="宋体" w:eastAsia="宋体" w:hAnsi="Times New Roman"/>
          <w:color w:val="000000"/>
        </w:rPr>
      </w:pPr>
      <w:r w:rsidRPr="00C85DD3">
        <w:rPr>
          <w:rFonts w:ascii="宋体" w:eastAsia="宋体" w:hAnsi="Times New Roman" w:hint="eastAsia"/>
          <w:color w:val="000000"/>
        </w:rPr>
        <w:t>代表中国国际金融有限公司经办中国通信服务股份有限公司</w:t>
      </w:r>
      <w:r w:rsidRPr="00C85DD3">
        <w:rPr>
          <w:rFonts w:ascii="宋体" w:eastAsia="宋体" w:hAnsi="Times New Roman"/>
          <w:color w:val="000000"/>
        </w:rPr>
        <w:t>2.42亿美元的第二次全球发行及其H股在香港联交所的上市</w:t>
      </w:r>
    </w:p>
    <w:p w14:paraId="4E3D0857" w14:textId="77777777" w:rsidR="00C85DD3" w:rsidRDefault="00C85DD3" w:rsidP="00C85DD3">
      <w:pPr>
        <w:pStyle w:val="af5"/>
        <w:numPr>
          <w:ilvl w:val="0"/>
          <w:numId w:val="18"/>
        </w:numPr>
        <w:spacing w:before="120"/>
        <w:ind w:left="690" w:hanging="240"/>
        <w:rPr>
          <w:rFonts w:ascii="宋体" w:eastAsia="宋体" w:hAnsi="Times New Roman"/>
          <w:color w:val="000000"/>
        </w:rPr>
      </w:pPr>
      <w:r w:rsidRPr="00C85DD3">
        <w:rPr>
          <w:rFonts w:ascii="宋体" w:eastAsia="宋体" w:hAnsi="Times New Roman" w:hint="eastAsia"/>
          <w:color w:val="000000"/>
        </w:rPr>
        <w:t>代表承销商瑞银集团、高盛和法国巴黎银行经办中国旺旺控股有限公司</w:t>
      </w:r>
      <w:r w:rsidRPr="00C85DD3">
        <w:rPr>
          <w:rFonts w:ascii="宋体" w:eastAsia="宋体" w:hAnsi="Times New Roman"/>
          <w:color w:val="000000"/>
        </w:rPr>
        <w:t>14.3亿美元的全球发行和上市项目</w:t>
      </w:r>
    </w:p>
    <w:p w14:paraId="79265D6B" w14:textId="77777777" w:rsidR="00C85DD3" w:rsidRDefault="00C85DD3" w:rsidP="00C85DD3">
      <w:pPr>
        <w:pStyle w:val="af5"/>
        <w:numPr>
          <w:ilvl w:val="0"/>
          <w:numId w:val="19"/>
        </w:numPr>
        <w:spacing w:before="120"/>
        <w:ind w:left="690" w:hanging="240"/>
        <w:rPr>
          <w:rFonts w:ascii="宋体" w:eastAsia="宋体" w:hAnsi="Times New Roman"/>
          <w:color w:val="000000"/>
        </w:rPr>
      </w:pPr>
      <w:r w:rsidRPr="00C85DD3">
        <w:rPr>
          <w:rFonts w:ascii="宋体" w:eastAsia="宋体" w:hAnsi="Times New Roman" w:hint="eastAsia"/>
          <w:color w:val="000000"/>
        </w:rPr>
        <w:t>代表美林集团和德意志银行经办小肥羊集团有限公司</w:t>
      </w:r>
      <w:r w:rsidRPr="00C85DD3">
        <w:rPr>
          <w:rFonts w:ascii="宋体" w:eastAsia="宋体" w:hAnsi="Times New Roman"/>
          <w:color w:val="000000"/>
        </w:rPr>
        <w:t>1亿美元的全球发行和上市项目</w:t>
      </w:r>
    </w:p>
    <w:p w14:paraId="20A4B203" w14:textId="77777777" w:rsidR="00C85DD3" w:rsidRDefault="00C85DD3" w:rsidP="00C85DD3">
      <w:pPr>
        <w:pStyle w:val="af5"/>
        <w:spacing w:before="120"/>
        <w:rPr>
          <w:rFonts w:ascii="宋体" w:eastAsia="宋体" w:hAnsi="Times New Roman"/>
          <w:color w:val="000000"/>
        </w:rPr>
      </w:pPr>
      <w:r w:rsidRPr="00C85DD3">
        <w:rPr>
          <w:rFonts w:ascii="宋体" w:eastAsia="宋体" w:hAnsi="Times New Roman" w:hint="eastAsia"/>
          <w:color w:val="000000"/>
        </w:rPr>
        <w:t>收购</w:t>
      </w:r>
      <w:r w:rsidRPr="00C85DD3">
        <w:rPr>
          <w:rFonts w:ascii="宋体" w:eastAsia="宋体" w:hAnsi="Times New Roman"/>
          <w:color w:val="000000"/>
        </w:rPr>
        <w:t>/并购</w:t>
      </w:r>
    </w:p>
    <w:p w14:paraId="56B6F9C3" w14:textId="77777777" w:rsidR="00C85DD3" w:rsidRDefault="00C85DD3" w:rsidP="00C85DD3">
      <w:pPr>
        <w:pStyle w:val="af5"/>
        <w:numPr>
          <w:ilvl w:val="0"/>
          <w:numId w:val="20"/>
        </w:numPr>
        <w:spacing w:before="120"/>
        <w:ind w:left="690" w:hanging="240"/>
        <w:rPr>
          <w:rFonts w:ascii="宋体" w:eastAsia="宋体" w:hAnsi="Times New Roman"/>
          <w:color w:val="000000"/>
        </w:rPr>
      </w:pPr>
      <w:r w:rsidRPr="00C85DD3">
        <w:rPr>
          <w:rFonts w:ascii="宋体" w:eastAsia="宋体" w:hAnsi="Times New Roman" w:hint="eastAsia"/>
          <w:color w:val="000000"/>
        </w:rPr>
        <w:t>代表中青芯鑫（江苏工业园区）资产管理有限责任公司（</w:t>
      </w:r>
      <w:r w:rsidRPr="00C85DD3">
        <w:rPr>
          <w:rFonts w:ascii="宋体" w:eastAsia="宋体" w:hAnsi="Times New Roman"/>
          <w:color w:val="000000"/>
        </w:rPr>
        <w:t>UNIC Capital Management Co., Ltd.）及芯鼎有限公司（Sino Xing Ding Limited）以9.9亿港元收购紫光控股（港交所股份代号：0365）控股股权并实施香港公司收购，合并及股份回购守则内强制要约收购程序</w:t>
      </w:r>
    </w:p>
    <w:p w14:paraId="5FFCB4DD" w14:textId="77777777" w:rsidR="00C85DD3" w:rsidRDefault="00C85DD3" w:rsidP="00C85DD3">
      <w:pPr>
        <w:pStyle w:val="af5"/>
        <w:numPr>
          <w:ilvl w:val="0"/>
          <w:numId w:val="21"/>
        </w:numPr>
        <w:spacing w:before="120"/>
        <w:ind w:left="690" w:hanging="240"/>
        <w:rPr>
          <w:rFonts w:ascii="宋体" w:eastAsia="宋体" w:hAnsi="Times New Roman"/>
          <w:color w:val="000000"/>
        </w:rPr>
      </w:pPr>
      <w:r w:rsidRPr="00C85DD3">
        <w:rPr>
          <w:rFonts w:ascii="宋体" w:eastAsia="宋体" w:hAnsi="Times New Roman" w:hint="eastAsia"/>
          <w:color w:val="000000"/>
        </w:rPr>
        <w:t>代表华晨中国汽车控股有限公司（港交所股份代号：</w:t>
      </w:r>
      <w:r w:rsidRPr="00C85DD3">
        <w:rPr>
          <w:rFonts w:ascii="宋体" w:eastAsia="宋体" w:hAnsi="Times New Roman"/>
          <w:color w:val="000000"/>
        </w:rPr>
        <w:t>1114）宝马集团出售华晨宝马汽车有限公司25%的股权，总值人民币290亿元，构成香港上市规则项下的一次非常重大的处置</w:t>
      </w:r>
    </w:p>
    <w:p w14:paraId="1ABC8995" w14:textId="77777777" w:rsidR="00C85DD3" w:rsidRDefault="00C85DD3" w:rsidP="00C85DD3">
      <w:pPr>
        <w:pStyle w:val="af5"/>
        <w:numPr>
          <w:ilvl w:val="0"/>
          <w:numId w:val="22"/>
        </w:numPr>
        <w:spacing w:before="120"/>
        <w:ind w:left="690" w:hanging="240"/>
        <w:rPr>
          <w:rFonts w:ascii="宋体" w:eastAsia="宋体" w:hAnsi="Times New Roman"/>
          <w:color w:val="000000"/>
        </w:rPr>
      </w:pPr>
      <w:r w:rsidRPr="00C85DD3">
        <w:rPr>
          <w:rFonts w:ascii="宋体" w:eastAsia="宋体" w:hAnsi="Times New Roman" w:hint="eastAsia"/>
          <w:color w:val="000000"/>
        </w:rPr>
        <w:t>代表新城发展控股有限公司（港交所股份代号：</w:t>
      </w:r>
      <w:r w:rsidRPr="00C85DD3">
        <w:rPr>
          <w:rFonts w:ascii="宋体" w:eastAsia="宋体" w:hAnsi="Times New Roman"/>
          <w:color w:val="000000"/>
        </w:rPr>
        <w:t>1030）的控股股东经办其拟议价值在6.61亿美元私有化要约</w:t>
      </w:r>
    </w:p>
    <w:p w14:paraId="54E3D425" w14:textId="77777777" w:rsidR="00C85DD3" w:rsidRDefault="00C85DD3" w:rsidP="00C85DD3">
      <w:pPr>
        <w:pStyle w:val="af5"/>
        <w:numPr>
          <w:ilvl w:val="0"/>
          <w:numId w:val="23"/>
        </w:numPr>
        <w:spacing w:before="120"/>
        <w:ind w:left="690" w:hanging="240"/>
        <w:rPr>
          <w:rFonts w:ascii="宋体" w:eastAsia="宋体" w:hAnsi="Times New Roman"/>
          <w:color w:val="000000"/>
        </w:rPr>
      </w:pPr>
      <w:r w:rsidRPr="00C85DD3">
        <w:rPr>
          <w:rFonts w:ascii="宋体" w:eastAsia="宋体" w:hAnsi="Times New Roman" w:hint="eastAsia"/>
          <w:color w:val="000000"/>
        </w:rPr>
        <w:t>代表盈德气体公司（港交所股份代号：</w:t>
      </w:r>
      <w:r w:rsidRPr="00C85DD3">
        <w:rPr>
          <w:rFonts w:ascii="宋体" w:eastAsia="宋体" w:hAnsi="Times New Roman"/>
          <w:color w:val="000000"/>
        </w:rPr>
        <w:t>2168）的董事会独立委员会经办拟对该公司的竞争性收购</w:t>
      </w:r>
    </w:p>
    <w:p w14:paraId="4C10598B" w14:textId="77777777" w:rsidR="00C85DD3" w:rsidRDefault="00C85DD3" w:rsidP="00C85DD3">
      <w:pPr>
        <w:pStyle w:val="af5"/>
        <w:numPr>
          <w:ilvl w:val="0"/>
          <w:numId w:val="24"/>
        </w:numPr>
        <w:spacing w:before="120"/>
        <w:ind w:left="690" w:hanging="240"/>
        <w:rPr>
          <w:rFonts w:ascii="宋体" w:eastAsia="宋体" w:hAnsi="Times New Roman"/>
          <w:color w:val="000000"/>
        </w:rPr>
      </w:pPr>
      <w:r w:rsidRPr="00C85DD3">
        <w:rPr>
          <w:rFonts w:ascii="宋体" w:eastAsia="宋体" w:hAnsi="Times New Roman" w:hint="eastAsia"/>
          <w:color w:val="000000"/>
        </w:rPr>
        <w:t>代表伊利集团经办以</w:t>
      </w:r>
      <w:r w:rsidRPr="00C85DD3">
        <w:rPr>
          <w:rFonts w:ascii="宋体" w:eastAsia="宋体" w:hAnsi="Times New Roman"/>
          <w:color w:val="000000"/>
        </w:rPr>
        <w:t>6.8亿美元收购中国圣牧有机奶业有限公司（一家香港上市公司）的相关事宜</w:t>
      </w:r>
    </w:p>
    <w:p w14:paraId="267CF128" w14:textId="77777777" w:rsidR="00C85DD3" w:rsidRDefault="00C85DD3" w:rsidP="00C85DD3">
      <w:pPr>
        <w:pStyle w:val="af5"/>
        <w:numPr>
          <w:ilvl w:val="0"/>
          <w:numId w:val="25"/>
        </w:numPr>
        <w:spacing w:before="120"/>
        <w:ind w:left="690" w:hanging="240"/>
        <w:rPr>
          <w:rFonts w:ascii="宋体" w:eastAsia="宋体" w:hAnsi="Times New Roman"/>
          <w:color w:val="000000"/>
        </w:rPr>
      </w:pPr>
      <w:r w:rsidRPr="00C85DD3">
        <w:rPr>
          <w:rFonts w:ascii="宋体" w:eastAsia="宋体" w:hAnsi="Times New Roman" w:hint="eastAsia"/>
          <w:color w:val="000000"/>
        </w:rPr>
        <w:t>代表香港上市的凤凰医疗集团有限公司（现更名为华润凤凰医疗控股有限公司）经办以</w:t>
      </w:r>
      <w:r w:rsidRPr="00C85DD3">
        <w:rPr>
          <w:rFonts w:ascii="宋体" w:eastAsia="宋体" w:hAnsi="Times New Roman"/>
          <w:color w:val="000000"/>
        </w:rPr>
        <w:t>4.8亿美元向中国保健行业最大型的国有企业之一华润医疗集团有限公司收购其多项医院业务的事宜</w:t>
      </w:r>
    </w:p>
    <w:p w14:paraId="409B4B6D" w14:textId="77777777" w:rsidR="00C85DD3" w:rsidRDefault="00C85DD3" w:rsidP="00C85DD3">
      <w:pPr>
        <w:pStyle w:val="af5"/>
        <w:numPr>
          <w:ilvl w:val="0"/>
          <w:numId w:val="26"/>
        </w:numPr>
        <w:spacing w:before="120"/>
        <w:ind w:left="690" w:hanging="240"/>
        <w:rPr>
          <w:rFonts w:ascii="宋体" w:eastAsia="宋体" w:hAnsi="Times New Roman"/>
          <w:color w:val="000000"/>
        </w:rPr>
      </w:pPr>
      <w:r w:rsidRPr="00C85DD3">
        <w:rPr>
          <w:rFonts w:ascii="宋体" w:eastAsia="宋体" w:hAnsi="Times New Roman" w:hint="eastAsia"/>
          <w:color w:val="000000"/>
        </w:rPr>
        <w:t>代表香港上市公司凤凰医疗集团经办其约</w:t>
      </w:r>
      <w:r w:rsidRPr="00C85DD3">
        <w:rPr>
          <w:rFonts w:ascii="宋体" w:eastAsia="宋体" w:hAnsi="Times New Roman"/>
          <w:color w:val="000000"/>
        </w:rPr>
        <w:t>1.6亿美元收购中信医疗健康产业集团有限公司医院事宜</w:t>
      </w:r>
    </w:p>
    <w:p w14:paraId="6EFF66B4" w14:textId="77777777" w:rsidR="00C85DD3" w:rsidRDefault="00C85DD3" w:rsidP="00C85DD3">
      <w:pPr>
        <w:pStyle w:val="af5"/>
        <w:numPr>
          <w:ilvl w:val="0"/>
          <w:numId w:val="27"/>
        </w:numPr>
        <w:spacing w:before="120"/>
        <w:ind w:left="690" w:hanging="240"/>
        <w:rPr>
          <w:rFonts w:ascii="宋体" w:eastAsia="宋体" w:hAnsi="Times New Roman"/>
          <w:color w:val="000000"/>
        </w:rPr>
      </w:pPr>
      <w:r w:rsidRPr="00C85DD3">
        <w:rPr>
          <w:rFonts w:ascii="宋体" w:eastAsia="宋体" w:hAnsi="Times New Roman" w:hint="eastAsia"/>
          <w:color w:val="000000"/>
        </w:rPr>
        <w:t>经办阿里健康信息技术有限公司反向收购一个医疗业务及在香港联交所主板上市的事宜</w:t>
      </w:r>
    </w:p>
    <w:p w14:paraId="1C93D3CD" w14:textId="77777777" w:rsidR="00C85DD3" w:rsidRDefault="00C85DD3" w:rsidP="00C85DD3">
      <w:pPr>
        <w:pStyle w:val="af5"/>
        <w:numPr>
          <w:ilvl w:val="0"/>
          <w:numId w:val="28"/>
        </w:numPr>
        <w:spacing w:before="120"/>
        <w:ind w:left="690" w:hanging="240"/>
        <w:rPr>
          <w:rFonts w:ascii="宋体" w:eastAsia="宋体" w:hAnsi="Times New Roman"/>
          <w:color w:val="000000"/>
        </w:rPr>
      </w:pPr>
      <w:r w:rsidRPr="00C85DD3">
        <w:rPr>
          <w:rFonts w:ascii="宋体" w:eastAsia="宋体" w:hAnsi="Times New Roman" w:hint="eastAsia"/>
          <w:color w:val="000000"/>
        </w:rPr>
        <w:t>代表上海复地地产有限公司（一家前香港上市公司），进行</w:t>
      </w:r>
      <w:r w:rsidRPr="00C85DD3">
        <w:rPr>
          <w:rFonts w:ascii="宋体" w:eastAsia="宋体" w:hAnsi="Times New Roman"/>
          <w:color w:val="000000"/>
        </w:rPr>
        <w:t>H股私有化</w:t>
      </w:r>
    </w:p>
    <w:p w14:paraId="30D2A44D" w14:textId="77777777" w:rsidR="00C85DD3" w:rsidRDefault="00C85DD3" w:rsidP="00C85DD3">
      <w:pPr>
        <w:pStyle w:val="af5"/>
        <w:numPr>
          <w:ilvl w:val="0"/>
          <w:numId w:val="29"/>
        </w:numPr>
        <w:spacing w:before="120"/>
        <w:ind w:left="690" w:hanging="240"/>
        <w:rPr>
          <w:rFonts w:ascii="宋体" w:eastAsia="宋体" w:hAnsi="Times New Roman"/>
          <w:color w:val="000000"/>
        </w:rPr>
      </w:pPr>
      <w:r w:rsidRPr="00C85DD3">
        <w:rPr>
          <w:rFonts w:ascii="宋体" w:eastAsia="宋体" w:hAnsi="Times New Roman" w:hint="eastAsia"/>
          <w:color w:val="000000"/>
        </w:rPr>
        <w:t>代表</w:t>
      </w:r>
      <w:r w:rsidRPr="00C85DD3">
        <w:rPr>
          <w:rFonts w:ascii="宋体" w:eastAsia="宋体" w:hAnsi="Times New Roman"/>
          <w:color w:val="000000"/>
        </w:rPr>
        <w:t>OCEANIC GOLD GLOBAL LIMITED经办收购GIOCHI PREZIOSI S.P.A.之49%股权的事宜，GIOCHI PREZIOSI S.P.A.是欧洲久负盛名的玩具制造商及分销商，交易总对价为6,150万欧元</w:t>
      </w:r>
    </w:p>
    <w:p w14:paraId="7CCA8489" w14:textId="77777777" w:rsidR="00C85DD3" w:rsidRDefault="00C85DD3" w:rsidP="00C85DD3">
      <w:pPr>
        <w:pStyle w:val="af5"/>
        <w:numPr>
          <w:ilvl w:val="0"/>
          <w:numId w:val="30"/>
        </w:numPr>
        <w:spacing w:before="120"/>
        <w:ind w:left="690" w:hanging="240"/>
        <w:rPr>
          <w:rFonts w:ascii="宋体" w:eastAsia="宋体" w:hAnsi="Times New Roman"/>
          <w:color w:val="000000"/>
        </w:rPr>
      </w:pPr>
      <w:r w:rsidRPr="00C85DD3">
        <w:rPr>
          <w:rFonts w:ascii="宋体" w:eastAsia="宋体" w:hAnsi="Times New Roman" w:hint="eastAsia"/>
          <w:color w:val="000000"/>
        </w:rPr>
        <w:t>代表</w:t>
      </w:r>
      <w:r w:rsidRPr="00C85DD3">
        <w:rPr>
          <w:rFonts w:ascii="宋体" w:eastAsia="宋体" w:hAnsi="Times New Roman"/>
          <w:color w:val="000000"/>
        </w:rPr>
        <w:t>HAINAN FIRST CAPITAL经办其对赛晶电力电子集团有限公司（港交所股份代号：580）多数股权收购，涉及上市规则第14章</w:t>
      </w:r>
    </w:p>
    <w:p w14:paraId="7A01FB72" w14:textId="77777777" w:rsidR="00C85DD3" w:rsidRDefault="00C85DD3" w:rsidP="00C85DD3">
      <w:pPr>
        <w:pStyle w:val="af5"/>
        <w:numPr>
          <w:ilvl w:val="0"/>
          <w:numId w:val="31"/>
        </w:numPr>
        <w:spacing w:before="120"/>
        <w:ind w:left="690" w:hanging="240"/>
        <w:rPr>
          <w:rFonts w:ascii="宋体" w:eastAsia="宋体" w:hAnsi="Times New Roman"/>
          <w:color w:val="000000"/>
        </w:rPr>
      </w:pPr>
      <w:r w:rsidRPr="00C85DD3">
        <w:rPr>
          <w:rFonts w:ascii="宋体" w:eastAsia="宋体" w:hAnsi="Times New Roman" w:hint="eastAsia"/>
          <w:color w:val="000000"/>
        </w:rPr>
        <w:t>代表</w:t>
      </w:r>
      <w:r w:rsidRPr="00C85DD3">
        <w:rPr>
          <w:rFonts w:ascii="宋体" w:eastAsia="宋体" w:hAnsi="Times New Roman"/>
          <w:color w:val="000000"/>
        </w:rPr>
        <w:t>UNITED TECHNOLOGY经办其以 2.47亿美元的价格收购海湾控股有限公司（GST HOLDINGS LTD）。该收购要约为自愿作出的全面要约，进行该收购的条件是获得包括中国反垄断申报在内的相关政府批准或同意</w:t>
      </w:r>
    </w:p>
    <w:p w14:paraId="59FD82DF" w14:textId="77777777" w:rsidR="00C85DD3" w:rsidRDefault="00C85DD3" w:rsidP="00C85DD3">
      <w:pPr>
        <w:pStyle w:val="af5"/>
        <w:numPr>
          <w:ilvl w:val="0"/>
          <w:numId w:val="32"/>
        </w:numPr>
        <w:spacing w:before="120"/>
        <w:ind w:left="690" w:hanging="240"/>
        <w:rPr>
          <w:rFonts w:ascii="宋体" w:eastAsia="宋体" w:hAnsi="Times New Roman"/>
          <w:color w:val="000000"/>
        </w:rPr>
      </w:pPr>
      <w:r w:rsidRPr="00C85DD3">
        <w:rPr>
          <w:rFonts w:ascii="宋体" w:eastAsia="宋体" w:hAnsi="Times New Roman" w:hint="eastAsia"/>
          <w:color w:val="000000"/>
        </w:rPr>
        <w:t>代表鸿兴印刷集团有限公司（港交所股份代号：</w:t>
      </w:r>
      <w:r w:rsidRPr="00C85DD3">
        <w:rPr>
          <w:rFonts w:ascii="宋体" w:eastAsia="宋体" w:hAnsi="Times New Roman"/>
          <w:color w:val="000000"/>
        </w:rPr>
        <w:t>450）向CVC Asia Pacific Limited 发行8.65亿港元新股收购该上市公司。该交易涉及一项清洗豁免（Whitewash Waiver），从而使得CVC Asia Pacific Limited在无需提出收购要约的情况下成为了鸿兴印刷集团有限公司的单一最大股东，并完成了鸿兴的控制权变更</w:t>
      </w:r>
    </w:p>
    <w:p w14:paraId="0360FD60" w14:textId="77777777" w:rsidR="00C85DD3" w:rsidRDefault="00C85DD3" w:rsidP="00C85DD3">
      <w:pPr>
        <w:pStyle w:val="af5"/>
        <w:numPr>
          <w:ilvl w:val="0"/>
          <w:numId w:val="33"/>
        </w:numPr>
        <w:spacing w:before="120"/>
        <w:ind w:left="690" w:hanging="240"/>
        <w:rPr>
          <w:rFonts w:ascii="宋体" w:eastAsia="宋体" w:hAnsi="Times New Roman"/>
          <w:color w:val="000000"/>
        </w:rPr>
      </w:pPr>
      <w:r w:rsidRPr="00C85DD3">
        <w:rPr>
          <w:rFonts w:ascii="宋体" w:eastAsia="宋体" w:hAnsi="Times New Roman" w:hint="eastAsia"/>
          <w:color w:val="000000"/>
        </w:rPr>
        <w:t>代表承销商德意志银行认购在香港上市的中国镍资源的可转换债券，以资助在印尼铁矿之收购</w:t>
      </w:r>
    </w:p>
    <w:p w14:paraId="7A3E4BB0" w14:textId="77777777" w:rsidR="00C85DD3" w:rsidRDefault="00C85DD3" w:rsidP="00C85DD3">
      <w:pPr>
        <w:pStyle w:val="af5"/>
        <w:spacing w:after="0" w:line="480" w:lineRule="auto"/>
        <w:rPr>
          <w:rFonts w:ascii="宋体" w:eastAsia="宋体" w:hAnsi="宋体"/>
          <w:b/>
          <w:sz w:val="24"/>
        </w:rPr>
      </w:pPr>
      <w:r w:rsidRPr="00C85DD3">
        <w:rPr>
          <w:rFonts w:ascii="宋体" w:eastAsia="宋体" w:hAnsi="宋体" w:hint="eastAsia"/>
          <w:b/>
          <w:sz w:val="24"/>
        </w:rPr>
        <w:t>教育背景</w:t>
      </w:r>
    </w:p>
    <w:p w14:paraId="7E116B59" w14:textId="77777777" w:rsidR="00C85DD3" w:rsidRDefault="00C85DD3" w:rsidP="00C85DD3">
      <w:pPr>
        <w:pStyle w:val="af5"/>
        <w:numPr>
          <w:ilvl w:val="0"/>
          <w:numId w:val="34"/>
        </w:numPr>
        <w:spacing w:before="120"/>
        <w:ind w:left="690" w:hanging="240"/>
        <w:rPr>
          <w:rFonts w:ascii="宋体" w:eastAsia="宋体" w:hAnsi="Times New Roman"/>
          <w:color w:val="000000"/>
        </w:rPr>
      </w:pPr>
      <w:r w:rsidRPr="00C85DD3">
        <w:rPr>
          <w:rFonts w:ascii="宋体" w:eastAsia="宋体" w:hAnsi="Times New Roman" w:hint="eastAsia"/>
          <w:color w:val="000000"/>
        </w:rPr>
        <w:t>牛津大学</w:t>
      </w:r>
      <w:r w:rsidRPr="00C85DD3">
        <w:rPr>
          <w:rFonts w:ascii="宋体" w:eastAsia="宋体" w:hAnsi="Times New Roman"/>
          <w:color w:val="000000"/>
        </w:rPr>
        <w:t>KEBLE学院，法理学硕士</w:t>
      </w:r>
    </w:p>
    <w:p w14:paraId="2CAD2FA7" w14:textId="77777777" w:rsidR="00C85DD3" w:rsidRDefault="00C85DD3" w:rsidP="00C85DD3">
      <w:pPr>
        <w:pStyle w:val="af5"/>
        <w:numPr>
          <w:ilvl w:val="0"/>
          <w:numId w:val="35"/>
        </w:numPr>
        <w:spacing w:before="120"/>
        <w:ind w:left="690" w:hanging="240"/>
        <w:rPr>
          <w:rFonts w:ascii="宋体" w:eastAsia="宋体" w:hAnsi="Times New Roman"/>
          <w:color w:val="000000"/>
        </w:rPr>
      </w:pPr>
      <w:r w:rsidRPr="00C85DD3">
        <w:rPr>
          <w:rFonts w:ascii="宋体" w:eastAsia="宋体" w:hAnsi="Times New Roman" w:hint="eastAsia"/>
          <w:color w:val="000000"/>
        </w:rPr>
        <w:t>波士顿大学，政治学学士</w:t>
      </w:r>
    </w:p>
    <w:p w14:paraId="4AA27C9D" w14:textId="77777777" w:rsidR="00C85DD3" w:rsidRDefault="00C85DD3" w:rsidP="00C85DD3">
      <w:pPr>
        <w:pStyle w:val="af5"/>
        <w:spacing w:after="0" w:line="480" w:lineRule="auto"/>
        <w:rPr>
          <w:rFonts w:ascii="宋体" w:eastAsia="宋体" w:hAnsi="宋体"/>
          <w:b/>
          <w:sz w:val="24"/>
        </w:rPr>
      </w:pPr>
      <w:r w:rsidRPr="00C85DD3">
        <w:rPr>
          <w:rFonts w:ascii="宋体" w:eastAsia="宋体" w:hAnsi="宋体" w:hint="eastAsia"/>
          <w:b/>
          <w:sz w:val="24"/>
        </w:rPr>
        <w:t>执业资格</w:t>
      </w:r>
    </w:p>
    <w:p w14:paraId="08713328" w14:textId="77777777" w:rsidR="00C85DD3" w:rsidRDefault="00C85DD3" w:rsidP="00C85DD3">
      <w:pPr>
        <w:pStyle w:val="af5"/>
        <w:numPr>
          <w:ilvl w:val="0"/>
          <w:numId w:val="36"/>
        </w:numPr>
        <w:spacing w:before="120"/>
        <w:ind w:left="690" w:hanging="240"/>
        <w:rPr>
          <w:rFonts w:ascii="宋体" w:eastAsia="宋体" w:hAnsi="Times New Roman"/>
          <w:color w:val="000000"/>
        </w:rPr>
      </w:pPr>
      <w:r w:rsidRPr="00C85DD3">
        <w:rPr>
          <w:rFonts w:ascii="宋体" w:eastAsia="宋体" w:hAnsi="Times New Roman" w:hint="eastAsia"/>
          <w:color w:val="000000"/>
        </w:rPr>
        <w:t>香港特别行政区执业律师资格（</w:t>
      </w:r>
      <w:r w:rsidRPr="00C85DD3">
        <w:rPr>
          <w:rFonts w:ascii="宋体" w:eastAsia="宋体" w:hAnsi="Times New Roman"/>
          <w:color w:val="000000"/>
        </w:rPr>
        <w:t>2000）</w:t>
      </w:r>
    </w:p>
    <w:p w14:paraId="4437BDD8" w14:textId="77777777" w:rsidR="00C85DD3" w:rsidRDefault="00C85DD3" w:rsidP="00C85DD3">
      <w:pPr>
        <w:pStyle w:val="af5"/>
        <w:spacing w:after="0" w:line="480" w:lineRule="auto"/>
        <w:rPr>
          <w:rFonts w:ascii="宋体" w:eastAsia="宋体" w:hAnsi="宋体"/>
          <w:b/>
          <w:sz w:val="24"/>
        </w:rPr>
      </w:pPr>
      <w:r w:rsidRPr="00C85DD3">
        <w:rPr>
          <w:rFonts w:ascii="宋体" w:eastAsia="宋体" w:hAnsi="宋体" w:hint="eastAsia"/>
          <w:b/>
          <w:sz w:val="24"/>
        </w:rPr>
        <w:t>工作语言</w:t>
      </w:r>
    </w:p>
    <w:p w14:paraId="353B0597" w14:textId="77777777" w:rsidR="00C85DD3" w:rsidRDefault="00C85DD3" w:rsidP="00C85DD3">
      <w:pPr>
        <w:pStyle w:val="af5"/>
        <w:numPr>
          <w:ilvl w:val="0"/>
          <w:numId w:val="37"/>
        </w:numPr>
        <w:spacing w:before="120"/>
        <w:ind w:left="690" w:hanging="240"/>
        <w:rPr>
          <w:rFonts w:ascii="宋体" w:eastAsia="宋体" w:hAnsi="Times New Roman"/>
          <w:color w:val="000000"/>
        </w:rPr>
      </w:pPr>
      <w:r w:rsidRPr="00C85DD3">
        <w:rPr>
          <w:rFonts w:ascii="宋体" w:eastAsia="宋体" w:hAnsi="Times New Roman" w:hint="eastAsia"/>
          <w:color w:val="000000"/>
        </w:rPr>
        <w:t>普通话</w:t>
      </w:r>
    </w:p>
    <w:p w14:paraId="41703512" w14:textId="77777777" w:rsidR="00C85DD3" w:rsidRDefault="00C85DD3" w:rsidP="00C85DD3">
      <w:pPr>
        <w:pStyle w:val="af5"/>
        <w:numPr>
          <w:ilvl w:val="0"/>
          <w:numId w:val="38"/>
        </w:numPr>
        <w:spacing w:before="120"/>
        <w:ind w:left="690" w:hanging="240"/>
        <w:rPr>
          <w:rFonts w:ascii="宋体" w:eastAsia="宋体" w:hAnsi="Times New Roman"/>
          <w:color w:val="000000"/>
        </w:rPr>
      </w:pPr>
      <w:r w:rsidRPr="00C85DD3">
        <w:rPr>
          <w:rFonts w:ascii="宋体" w:eastAsia="宋体" w:hAnsi="Times New Roman" w:hint="eastAsia"/>
          <w:color w:val="000000"/>
        </w:rPr>
        <w:t>上海话</w:t>
      </w:r>
    </w:p>
    <w:p w14:paraId="47E6B850" w14:textId="77777777" w:rsidR="00C85DD3" w:rsidRDefault="00C85DD3" w:rsidP="00C85DD3">
      <w:pPr>
        <w:pStyle w:val="af5"/>
        <w:numPr>
          <w:ilvl w:val="0"/>
          <w:numId w:val="39"/>
        </w:numPr>
        <w:spacing w:before="120"/>
        <w:ind w:left="690" w:hanging="240"/>
        <w:rPr>
          <w:rFonts w:ascii="宋体" w:eastAsia="宋体" w:hAnsi="Times New Roman"/>
          <w:color w:val="000000"/>
        </w:rPr>
      </w:pPr>
      <w:r w:rsidRPr="00C85DD3">
        <w:rPr>
          <w:rFonts w:ascii="宋体" w:eastAsia="宋体" w:hAnsi="Times New Roman" w:hint="eastAsia"/>
          <w:color w:val="000000"/>
        </w:rPr>
        <w:t>粤语</w:t>
      </w:r>
    </w:p>
    <w:p w14:paraId="4F0A196B" w14:textId="7939AE13" w:rsidR="00A46A04" w:rsidRPr="00C85DD3" w:rsidRDefault="00C85DD3" w:rsidP="00C85DD3">
      <w:pPr>
        <w:pStyle w:val="af5"/>
        <w:numPr>
          <w:ilvl w:val="0"/>
          <w:numId w:val="40"/>
        </w:numPr>
        <w:spacing w:before="120"/>
        <w:ind w:left="690" w:hanging="240"/>
        <w:rPr>
          <w:rFonts w:ascii="宋体" w:eastAsia="宋体" w:hAnsi="Times New Roman"/>
          <w:color w:val="000000"/>
        </w:rPr>
      </w:pPr>
      <w:r w:rsidRPr="00C85DD3">
        <w:rPr>
          <w:rFonts w:ascii="宋体" w:eastAsia="宋体" w:hAnsi="Times New Roman" w:hint="eastAsia"/>
          <w:color w:val="000000"/>
        </w:rPr>
        <w:t>英语</w:t>
      </w:r>
    </w:p>
    <w:sectPr w:rsidR="00A46A04" w:rsidRPr="00C85DD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A251A"/>
    <w:multiLevelType w:val="singleLevel"/>
    <w:tmpl w:val="69BCEC8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443621"/>
    <w:multiLevelType w:val="singleLevel"/>
    <w:tmpl w:val="5270FF4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521278"/>
    <w:multiLevelType w:val="singleLevel"/>
    <w:tmpl w:val="8B304B4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3521A2D"/>
    <w:multiLevelType w:val="singleLevel"/>
    <w:tmpl w:val="59EE6B3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42C4B17"/>
    <w:multiLevelType w:val="singleLevel"/>
    <w:tmpl w:val="D6F4EB3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E53641"/>
    <w:multiLevelType w:val="singleLevel"/>
    <w:tmpl w:val="37CE62A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110A12"/>
    <w:multiLevelType w:val="singleLevel"/>
    <w:tmpl w:val="2042F39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3475CF"/>
    <w:multiLevelType w:val="singleLevel"/>
    <w:tmpl w:val="123E429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195D4E"/>
    <w:multiLevelType w:val="singleLevel"/>
    <w:tmpl w:val="7042152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7B4314"/>
    <w:multiLevelType w:val="singleLevel"/>
    <w:tmpl w:val="A4EC701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524795"/>
    <w:multiLevelType w:val="singleLevel"/>
    <w:tmpl w:val="C766308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126B87"/>
    <w:multiLevelType w:val="singleLevel"/>
    <w:tmpl w:val="69AEBD2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EDA52BB"/>
    <w:multiLevelType w:val="singleLevel"/>
    <w:tmpl w:val="EF787D6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4AA3634"/>
    <w:multiLevelType w:val="singleLevel"/>
    <w:tmpl w:val="117C0C1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DE85FFD"/>
    <w:multiLevelType w:val="singleLevel"/>
    <w:tmpl w:val="0F8E390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2F8D7CB4"/>
    <w:multiLevelType w:val="singleLevel"/>
    <w:tmpl w:val="9F8A08A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FFA4C56"/>
    <w:multiLevelType w:val="singleLevel"/>
    <w:tmpl w:val="0F6E543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04B62EE"/>
    <w:multiLevelType w:val="singleLevel"/>
    <w:tmpl w:val="62F0067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05B5A4A"/>
    <w:multiLevelType w:val="singleLevel"/>
    <w:tmpl w:val="9132C86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8DE5C00"/>
    <w:multiLevelType w:val="singleLevel"/>
    <w:tmpl w:val="69AEBD2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414A689B"/>
    <w:multiLevelType w:val="singleLevel"/>
    <w:tmpl w:val="FBB84BE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A6303BC"/>
    <w:multiLevelType w:val="singleLevel"/>
    <w:tmpl w:val="B0FAFAF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D405F1E"/>
    <w:multiLevelType w:val="singleLevel"/>
    <w:tmpl w:val="456E107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F8736C3"/>
    <w:multiLevelType w:val="singleLevel"/>
    <w:tmpl w:val="9D36B56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04F1FF1"/>
    <w:multiLevelType w:val="singleLevel"/>
    <w:tmpl w:val="3D66EBC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34D776E"/>
    <w:multiLevelType w:val="singleLevel"/>
    <w:tmpl w:val="6FC07B6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4ED4C92"/>
    <w:multiLevelType w:val="singleLevel"/>
    <w:tmpl w:val="A49A107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7BF7037"/>
    <w:multiLevelType w:val="singleLevel"/>
    <w:tmpl w:val="50C6387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8766783"/>
    <w:multiLevelType w:val="singleLevel"/>
    <w:tmpl w:val="476C5BC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9DE6B57"/>
    <w:multiLevelType w:val="singleLevel"/>
    <w:tmpl w:val="5352C64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F6B5931"/>
    <w:multiLevelType w:val="singleLevel"/>
    <w:tmpl w:val="83BA200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38705F2"/>
    <w:multiLevelType w:val="singleLevel"/>
    <w:tmpl w:val="42B44C7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A057D17"/>
    <w:multiLevelType w:val="singleLevel"/>
    <w:tmpl w:val="069AA8A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BDF10B3"/>
    <w:multiLevelType w:val="singleLevel"/>
    <w:tmpl w:val="CE9E30A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D191B2B"/>
    <w:multiLevelType w:val="singleLevel"/>
    <w:tmpl w:val="F3B6173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0316AA6"/>
    <w:multiLevelType w:val="singleLevel"/>
    <w:tmpl w:val="76CAB1A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CA63198"/>
    <w:multiLevelType w:val="singleLevel"/>
    <w:tmpl w:val="1B30897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E431960"/>
    <w:multiLevelType w:val="singleLevel"/>
    <w:tmpl w:val="A5540826"/>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1"/>
  </w:num>
  <w:num w:numId="3">
    <w:abstractNumId w:val="39"/>
  </w:num>
  <w:num w:numId="4">
    <w:abstractNumId w:val="37"/>
  </w:num>
  <w:num w:numId="5">
    <w:abstractNumId w:val="23"/>
  </w:num>
  <w:num w:numId="6">
    <w:abstractNumId w:val="24"/>
  </w:num>
  <w:num w:numId="7">
    <w:abstractNumId w:val="2"/>
  </w:num>
  <w:num w:numId="8">
    <w:abstractNumId w:val="30"/>
  </w:num>
  <w:num w:numId="9">
    <w:abstractNumId w:val="18"/>
  </w:num>
  <w:num w:numId="10">
    <w:abstractNumId w:val="26"/>
  </w:num>
  <w:num w:numId="11">
    <w:abstractNumId w:val="19"/>
  </w:num>
  <w:num w:numId="12">
    <w:abstractNumId w:val="27"/>
  </w:num>
  <w:num w:numId="13">
    <w:abstractNumId w:val="28"/>
  </w:num>
  <w:num w:numId="14">
    <w:abstractNumId w:val="36"/>
  </w:num>
  <w:num w:numId="15">
    <w:abstractNumId w:val="14"/>
  </w:num>
  <w:num w:numId="16">
    <w:abstractNumId w:val="17"/>
  </w:num>
  <w:num w:numId="17">
    <w:abstractNumId w:val="16"/>
  </w:num>
  <w:num w:numId="18">
    <w:abstractNumId w:val="12"/>
  </w:num>
  <w:num w:numId="19">
    <w:abstractNumId w:val="3"/>
  </w:num>
  <w:num w:numId="20">
    <w:abstractNumId w:val="0"/>
  </w:num>
  <w:num w:numId="21">
    <w:abstractNumId w:val="35"/>
  </w:num>
  <w:num w:numId="22">
    <w:abstractNumId w:val="22"/>
  </w:num>
  <w:num w:numId="23">
    <w:abstractNumId w:val="13"/>
  </w:num>
  <w:num w:numId="24">
    <w:abstractNumId w:val="10"/>
  </w:num>
  <w:num w:numId="25">
    <w:abstractNumId w:val="6"/>
  </w:num>
  <w:num w:numId="26">
    <w:abstractNumId w:val="5"/>
  </w:num>
  <w:num w:numId="27">
    <w:abstractNumId w:val="8"/>
  </w:num>
  <w:num w:numId="28">
    <w:abstractNumId w:val="32"/>
  </w:num>
  <w:num w:numId="29">
    <w:abstractNumId w:val="25"/>
  </w:num>
  <w:num w:numId="30">
    <w:abstractNumId w:val="33"/>
  </w:num>
  <w:num w:numId="31">
    <w:abstractNumId w:val="31"/>
  </w:num>
  <w:num w:numId="32">
    <w:abstractNumId w:val="1"/>
  </w:num>
  <w:num w:numId="33">
    <w:abstractNumId w:val="38"/>
  </w:num>
  <w:num w:numId="34">
    <w:abstractNumId w:val="7"/>
  </w:num>
  <w:num w:numId="35">
    <w:abstractNumId w:val="29"/>
  </w:num>
  <w:num w:numId="36">
    <w:abstractNumId w:val="4"/>
  </w:num>
  <w:num w:numId="37">
    <w:abstractNumId w:val="9"/>
  </w:num>
  <w:num w:numId="38">
    <w:abstractNumId w:val="34"/>
  </w:num>
  <w:num w:numId="39">
    <w:abstractNumId w:val="20"/>
  </w:num>
  <w:num w:numId="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85DD3"/>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85DD3"/>
    <w:pPr>
      <w:spacing w:after="120"/>
    </w:pPr>
  </w:style>
  <w:style w:type="character" w:customStyle="1" w:styleId="af6">
    <w:name w:val="正文文本 字符"/>
    <w:basedOn w:val="a0"/>
    <w:link w:val="af5"/>
    <w:uiPriority w:val="99"/>
    <w:rsid w:val="00C85DD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4892AF-9B07-455D-919F-54A36A53F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383</Words>
  <Characters>2188</Characters>
  <Application>Microsoft Office Word</Application>
  <DocSecurity>0</DocSecurity>
  <Lines>18</Lines>
  <Paragraphs>5</Paragraphs>
  <ScaleCrop>false</ScaleCrop>
  <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2026-04-30T21:30:00Z</dcterms:created>
  <dcterms:modified xsi:type="dcterms:W3CDTF">2026-04-30T21:30:00Z</dcterms:modified>
</cp:coreProperties>
</file>