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5D3248" w:rsidR="0049405C" w:rsidRPr="00187BAA" w:rsidRDefault="00D54874" w:rsidP="00D54874">
            <w:pPr>
              <w:spacing w:line="720" w:lineRule="auto"/>
              <w:rPr>
                <w:rFonts w:ascii="宋体" w:eastAsia="宋体" w:hAnsi="宋体"/>
                <w:color w:val="545551"/>
              </w:rPr>
            </w:pPr>
            <w:bookmarkStart w:id="0" w:name="xingming"/>
            <w:bookmarkStart w:id="1" w:name="_GoBack"/>
            <w:bookmarkEnd w:id="1"/>
            <w:r w:rsidRPr="00D54874">
              <w:rPr>
                <w:rFonts w:ascii="宋体" w:eastAsia="宋体" w:hAnsi="Times New Roman" w:hint="eastAsia"/>
                <w:b/>
                <w:color w:val="000000"/>
                <w:sz w:val="48"/>
              </w:rPr>
              <w:t>喻菡</w:t>
            </w:r>
            <w:bookmarkEnd w:id="0"/>
          </w:p>
          <w:p w14:paraId="0C92EA52" w14:textId="77777777" w:rsidR="00D54874" w:rsidRPr="00D54874" w:rsidRDefault="00D54874" w:rsidP="00D54874">
            <w:pPr>
              <w:spacing w:line="360" w:lineRule="auto"/>
              <w:rPr>
                <w:rFonts w:ascii="宋体" w:eastAsia="宋体" w:hAnsi="Times New Roman"/>
                <w:b/>
                <w:bCs/>
                <w:color w:val="000000"/>
              </w:rPr>
            </w:pPr>
            <w:bookmarkStart w:id="2" w:name="didian"/>
            <w:r w:rsidRPr="00D54874">
              <w:rPr>
                <w:rFonts w:ascii="宋体" w:eastAsia="宋体" w:hAnsi="Times New Roman" w:hint="eastAsia"/>
                <w:b/>
                <w:bCs/>
                <w:color w:val="000000"/>
              </w:rPr>
              <w:t>合伙人·上海</w:t>
            </w:r>
          </w:p>
          <w:p w14:paraId="706EB16B" w14:textId="7B34081A" w:rsidR="0049405C" w:rsidRPr="00187BAA" w:rsidRDefault="00D54874" w:rsidP="00D54874">
            <w:pPr>
              <w:spacing w:line="360" w:lineRule="auto"/>
              <w:rPr>
                <w:rFonts w:ascii="宋体" w:eastAsia="宋体" w:hAnsi="宋体"/>
                <w:b/>
                <w:bCs/>
                <w:color w:val="545551"/>
              </w:rPr>
            </w:pPr>
            <w:r w:rsidRPr="00D54874">
              <w:rPr>
                <w:rFonts w:ascii="宋体" w:eastAsia="宋体" w:hAnsi="Times New Roman" w:hint="eastAsia"/>
                <w:b/>
                <w:bCs/>
                <w:color w:val="000000"/>
              </w:rPr>
              <w:t>注册外地律师（中国）·香港</w:t>
            </w:r>
            <w:bookmarkEnd w:id="2"/>
          </w:p>
          <w:p w14:paraId="6199424A" w14:textId="1627D61E" w:rsidR="0049405C" w:rsidRPr="00187BAA" w:rsidRDefault="00D54874" w:rsidP="00D54874">
            <w:pPr>
              <w:spacing w:line="360" w:lineRule="auto"/>
              <w:rPr>
                <w:rFonts w:ascii="宋体" w:eastAsia="宋体" w:hAnsi="宋体"/>
                <w:color w:val="545551"/>
              </w:rPr>
            </w:pPr>
            <w:bookmarkStart w:id="3" w:name="dianhua"/>
            <w:r w:rsidRPr="00D54874">
              <w:rPr>
                <w:rFonts w:ascii="宋体" w:eastAsia="宋体" w:hAnsi="Times New Roman"/>
                <w:color w:val="000000"/>
              </w:rPr>
              <w:t>+86 21 6263 5855</w:t>
            </w:r>
            <w:bookmarkEnd w:id="3"/>
          </w:p>
          <w:p w14:paraId="4F910ACA" w14:textId="114DFC5E" w:rsidR="0049405C" w:rsidRPr="00187BAA" w:rsidRDefault="00D54874" w:rsidP="00D54874">
            <w:pPr>
              <w:spacing w:line="360" w:lineRule="auto"/>
              <w:rPr>
                <w:rFonts w:ascii="宋体" w:eastAsia="宋体" w:hAnsi="宋体"/>
                <w:color w:val="000000"/>
              </w:rPr>
            </w:pPr>
            <w:bookmarkStart w:id="4" w:name="youxiang"/>
            <w:r w:rsidRPr="00D54874">
              <w:rPr>
                <w:rFonts w:ascii="宋体" w:eastAsia="宋体" w:hAnsi="Times New Roman"/>
                <w:color w:val="000000"/>
              </w:rPr>
              <w:t>grace.yu@fangdalaw.com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F500DFE" w:rsidR="0049405C" w:rsidRPr="00187BAA" w:rsidRDefault="00D5487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D35A7FB" wp14:editId="1F009FC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D74FDA" w:rsidR="009465FB" w:rsidRPr="00187BAA" w:rsidRDefault="00D54874" w:rsidP="007177F3">
            <w:pPr>
              <w:rPr>
                <w:rFonts w:ascii="宋体" w:eastAsia="宋体" w:hAnsi="宋体"/>
                <w:color w:val="000000"/>
                <w:szCs w:val="21"/>
              </w:rPr>
            </w:pPr>
            <w:bookmarkStart w:id="6" w:name="zhiyelingyu"/>
            <w:r w:rsidRPr="00D54874">
              <w:rPr>
                <w:rFonts w:ascii="宋体" w:eastAsia="宋体" w:hAnsi="Times New Roman" w:hint="eastAsia"/>
                <w:color w:val="000000"/>
                <w:szCs w:val="21"/>
              </w:rPr>
              <w:t>喻菡律师是公司并购、金融监管方面的专家。其拥有非常全面的法律执业经历，她擅长为复杂的交易提供建议，并解决前沿的法律和监管问题。喻律师服务于国际金融集团，如花旗集团、摩根士丹利、摩根大通、瑞银、瑞信、汇丰、渣打、华平投资、野村证券、星展银行、忠利保险、蚂蚁集团以及港交所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AB18ED" w14:textId="77777777" w:rsidR="00D5487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D01912" w14:textId="77777777" w:rsidR="00D54874" w:rsidRDefault="00D54874" w:rsidP="00D54874">
      <w:pPr>
        <w:pStyle w:val="af5"/>
        <w:spacing w:before="120"/>
        <w:rPr>
          <w:rFonts w:ascii="宋体" w:eastAsia="宋体" w:hAnsi="Times New Roman"/>
          <w:color w:val="000000"/>
        </w:rPr>
      </w:pPr>
      <w:r w:rsidRPr="00D54874">
        <w:rPr>
          <w:rFonts w:ascii="宋体" w:eastAsia="宋体" w:hAnsi="Times New Roman" w:hint="eastAsia"/>
          <w:color w:val="000000"/>
        </w:rPr>
        <w:t>喻律师持续就与中国市场相关的金融监管问题提出解决方案，涉及商业银行、投资银行、资产管理、财富管理和金融科技等多个领域，并为金融机构提供数据</w:t>
      </w:r>
      <w:r w:rsidRPr="00D54874">
        <w:rPr>
          <w:rFonts w:ascii="宋体" w:eastAsia="宋体" w:hAnsi="Times New Roman"/>
          <w:color w:val="000000"/>
        </w:rPr>
        <w:t>/技术方面的咨询。</w:t>
      </w:r>
    </w:p>
    <w:p w14:paraId="2A801B7E" w14:textId="77777777" w:rsidR="00D54874" w:rsidRDefault="00D54874" w:rsidP="00D54874">
      <w:pPr>
        <w:pStyle w:val="af5"/>
        <w:spacing w:before="120"/>
        <w:rPr>
          <w:rFonts w:ascii="宋体" w:eastAsia="宋体" w:hAnsi="Times New Roman"/>
          <w:color w:val="000000"/>
        </w:rPr>
      </w:pPr>
      <w:r w:rsidRPr="00D54874">
        <w:rPr>
          <w:rFonts w:ascii="宋体" w:eastAsia="宋体" w:hAnsi="Times New Roman" w:hint="eastAsia"/>
          <w:color w:val="000000"/>
        </w:rPr>
        <w:t>喻律师参与了多个闻名于中国金融市场的“首单业务”，包括首批外资银行分行本地化，首例外资投资中国四大资产管理公司，首例困境上市信托公司重组项目，首家合资证券公司，首家</w:t>
      </w:r>
      <w:r w:rsidRPr="00D54874">
        <w:rPr>
          <w:rFonts w:ascii="宋体" w:eastAsia="宋体" w:hAnsi="Times New Roman"/>
          <w:color w:val="000000"/>
        </w:rPr>
        <w:t>CEPA协议下设立的外资控股的合资证券公司，首家外资控股的合资证券公司，首家外商独资期货经纪公司，首例跨境通通道建立等。</w:t>
      </w:r>
    </w:p>
    <w:p w14:paraId="3549B635" w14:textId="77777777" w:rsidR="00D54874" w:rsidRDefault="00D54874" w:rsidP="00D54874">
      <w:pPr>
        <w:pStyle w:val="af5"/>
        <w:spacing w:after="0" w:line="480" w:lineRule="auto"/>
        <w:rPr>
          <w:rFonts w:ascii="宋体" w:eastAsia="宋体" w:hAnsi="宋体"/>
          <w:b/>
          <w:sz w:val="24"/>
        </w:rPr>
      </w:pPr>
      <w:r w:rsidRPr="00D54874">
        <w:rPr>
          <w:rFonts w:ascii="宋体" w:eastAsia="宋体" w:hAnsi="宋体" w:hint="eastAsia"/>
          <w:b/>
          <w:sz w:val="24"/>
        </w:rPr>
        <w:t>近期代理的主要案件</w:t>
      </w:r>
    </w:p>
    <w:p w14:paraId="017D42FA" w14:textId="77777777" w:rsidR="00D54874" w:rsidRDefault="00D54874" w:rsidP="00D54874">
      <w:pPr>
        <w:pStyle w:val="af5"/>
        <w:spacing w:before="120"/>
        <w:rPr>
          <w:rFonts w:ascii="宋体" w:eastAsia="宋体" w:hAnsi="Times New Roman"/>
          <w:color w:val="000000"/>
        </w:rPr>
      </w:pPr>
      <w:r w:rsidRPr="00D54874">
        <w:rPr>
          <w:rFonts w:ascii="宋体" w:eastAsia="宋体" w:hAnsi="Times New Roman"/>
          <w:color w:val="000000"/>
        </w:rPr>
        <w:t xml:space="preserve"> 全方面的金融监管法律服务：</w:t>
      </w:r>
    </w:p>
    <w:p w14:paraId="0F4D524A" w14:textId="77777777" w:rsidR="00D54874" w:rsidRDefault="00D54874" w:rsidP="00D54874">
      <w:pPr>
        <w:pStyle w:val="af5"/>
        <w:spacing w:before="120"/>
        <w:rPr>
          <w:rFonts w:ascii="宋体" w:eastAsia="宋体" w:hAnsi="Times New Roman"/>
          <w:color w:val="000000"/>
        </w:rPr>
      </w:pPr>
      <w:r>
        <w:rPr>
          <w:rFonts w:ascii="宋体" w:eastAsia="宋体" w:hAnsi="Times New Roman" w:hint="eastAsia"/>
          <w:color w:val="000000"/>
        </w:rPr>
        <w:t>凭借20多年服务国际金融集团的丰富经验，喻律师可以快速应对金融机构提出的各类法律问题，并提出创造性的解决方案。涉及领域包括金融机构运营的各方面，包括但不限于：</w:t>
      </w:r>
    </w:p>
    <w:p w14:paraId="7E340E1C" w14:textId="77777777" w:rsidR="00D54874" w:rsidRDefault="00D54874" w:rsidP="00D54874">
      <w:pPr>
        <w:pStyle w:val="af5"/>
        <w:numPr>
          <w:ilvl w:val="0"/>
          <w:numId w:val="4"/>
        </w:numPr>
        <w:spacing w:before="120"/>
        <w:ind w:left="690" w:hanging="240"/>
        <w:rPr>
          <w:rFonts w:ascii="宋体" w:eastAsia="宋体" w:hAnsi="Times New Roman"/>
          <w:color w:val="000000"/>
        </w:rPr>
      </w:pPr>
      <w:r w:rsidRPr="00D54874">
        <w:rPr>
          <w:rFonts w:ascii="宋体" w:eastAsia="宋体" w:hAnsi="Times New Roman" w:hint="eastAsia"/>
          <w:color w:val="000000"/>
        </w:rPr>
        <w:t>设立金融市场参与者，并协助其获得监管许可以及完成所有法律和监管要求的程序；</w:t>
      </w:r>
    </w:p>
    <w:p w14:paraId="41FA0E1F" w14:textId="77777777" w:rsidR="00D54874" w:rsidRDefault="00D54874" w:rsidP="00D54874">
      <w:pPr>
        <w:pStyle w:val="af5"/>
        <w:numPr>
          <w:ilvl w:val="0"/>
          <w:numId w:val="5"/>
        </w:numPr>
        <w:spacing w:before="120"/>
        <w:ind w:left="690" w:hanging="240"/>
        <w:rPr>
          <w:rFonts w:ascii="宋体" w:eastAsia="宋体" w:hAnsi="Times New Roman"/>
          <w:color w:val="000000"/>
        </w:rPr>
      </w:pPr>
      <w:r w:rsidRPr="00D54874">
        <w:rPr>
          <w:rFonts w:ascii="宋体" w:eastAsia="宋体" w:hAnsi="Times New Roman" w:hint="eastAsia"/>
          <w:color w:val="000000"/>
        </w:rPr>
        <w:t>为中国金融市场中的收购、合资等交易设计交易结构，并就交易所需的相关批准和程序提供法律建议中国内地</w:t>
      </w:r>
      <w:r w:rsidRPr="00D54874">
        <w:rPr>
          <w:rFonts w:ascii="宋体" w:eastAsia="宋体" w:hAnsi="Times New Roman"/>
          <w:color w:val="000000"/>
        </w:rPr>
        <w:t>/香港金融机构的国际化业务；</w:t>
      </w:r>
    </w:p>
    <w:p w14:paraId="74D8867D" w14:textId="77777777" w:rsidR="00D54874" w:rsidRDefault="00D54874" w:rsidP="00D54874">
      <w:pPr>
        <w:pStyle w:val="af5"/>
        <w:numPr>
          <w:ilvl w:val="0"/>
          <w:numId w:val="6"/>
        </w:numPr>
        <w:spacing w:before="120"/>
        <w:ind w:left="690" w:hanging="240"/>
        <w:rPr>
          <w:rFonts w:ascii="宋体" w:eastAsia="宋体" w:hAnsi="Times New Roman"/>
          <w:color w:val="000000"/>
        </w:rPr>
      </w:pPr>
      <w:r w:rsidRPr="00D54874">
        <w:rPr>
          <w:rFonts w:ascii="宋体" w:eastAsia="宋体" w:hAnsi="Times New Roman" w:hint="eastAsia"/>
          <w:color w:val="000000"/>
        </w:rPr>
        <w:t>结合法律法规的要求和发展趋势，为企业提供开展金融市场业务的战略意见和策略分析；</w:t>
      </w:r>
    </w:p>
    <w:p w14:paraId="061F7BB0" w14:textId="77777777" w:rsidR="00D54874" w:rsidRDefault="00D54874" w:rsidP="00D54874">
      <w:pPr>
        <w:pStyle w:val="af5"/>
        <w:numPr>
          <w:ilvl w:val="0"/>
          <w:numId w:val="7"/>
        </w:numPr>
        <w:spacing w:before="120"/>
        <w:ind w:left="690" w:hanging="240"/>
        <w:rPr>
          <w:rFonts w:ascii="宋体" w:eastAsia="宋体" w:hAnsi="Times New Roman"/>
          <w:color w:val="000000"/>
        </w:rPr>
      </w:pPr>
      <w:r w:rsidRPr="00D54874">
        <w:rPr>
          <w:rFonts w:ascii="宋体" w:eastAsia="宋体" w:hAnsi="Times New Roman" w:hint="eastAsia"/>
          <w:color w:val="000000"/>
        </w:rPr>
        <w:t>为银行、证券公司、基金管理人、保险公司及外国银行中国代表处等金融机构在中国的运营活动提供法律和合规建议，包括协助客户解决境内证券、期货、商品和货币有关的交易、清算、交收和结算等法律问题；</w:t>
      </w:r>
    </w:p>
    <w:p w14:paraId="042D0438" w14:textId="77777777" w:rsidR="00D54874" w:rsidRDefault="00D54874" w:rsidP="00D54874">
      <w:pPr>
        <w:pStyle w:val="af5"/>
        <w:numPr>
          <w:ilvl w:val="0"/>
          <w:numId w:val="8"/>
        </w:numPr>
        <w:spacing w:before="120"/>
        <w:ind w:left="690" w:hanging="240"/>
        <w:rPr>
          <w:rFonts w:ascii="宋体" w:eastAsia="宋体" w:hAnsi="Times New Roman"/>
          <w:color w:val="000000"/>
        </w:rPr>
      </w:pPr>
      <w:r w:rsidRPr="00D54874">
        <w:rPr>
          <w:rFonts w:ascii="宋体" w:eastAsia="宋体" w:hAnsi="Times New Roman" w:hint="eastAsia"/>
          <w:color w:val="000000"/>
        </w:rPr>
        <w:t>深入审查金融机构的公司治理，包括监管治理、系统、人员和控制要求的所有方面，协助建立报告架构和决策流程，并为董事会和委员会监管提供建议；</w:t>
      </w:r>
    </w:p>
    <w:p w14:paraId="09C3DB35" w14:textId="77777777" w:rsidR="00D54874" w:rsidRDefault="00D54874" w:rsidP="00D54874">
      <w:pPr>
        <w:pStyle w:val="af5"/>
        <w:numPr>
          <w:ilvl w:val="0"/>
          <w:numId w:val="9"/>
        </w:numPr>
        <w:spacing w:before="120"/>
        <w:ind w:left="690" w:hanging="240"/>
        <w:rPr>
          <w:rFonts w:ascii="宋体" w:eastAsia="宋体" w:hAnsi="Times New Roman"/>
          <w:color w:val="000000"/>
        </w:rPr>
      </w:pPr>
      <w:r w:rsidRPr="00D54874">
        <w:rPr>
          <w:rFonts w:ascii="宋体" w:eastAsia="宋体" w:hAnsi="Times New Roman" w:hint="eastAsia"/>
          <w:color w:val="000000"/>
        </w:rPr>
        <w:t>就金融机构的关联交易等提供合规建议和出具意见；</w:t>
      </w:r>
    </w:p>
    <w:p w14:paraId="3C32E2E8" w14:textId="77777777" w:rsidR="00D54874" w:rsidRDefault="00D54874" w:rsidP="00D54874">
      <w:pPr>
        <w:pStyle w:val="af5"/>
        <w:numPr>
          <w:ilvl w:val="0"/>
          <w:numId w:val="10"/>
        </w:numPr>
        <w:spacing w:before="120"/>
        <w:ind w:left="690" w:hanging="240"/>
        <w:rPr>
          <w:rFonts w:ascii="宋体" w:eastAsia="宋体" w:hAnsi="Times New Roman"/>
          <w:color w:val="000000"/>
        </w:rPr>
      </w:pPr>
      <w:r w:rsidRPr="00D54874">
        <w:rPr>
          <w:rFonts w:ascii="宋体" w:eastAsia="宋体" w:hAnsi="Times New Roman" w:hint="eastAsia"/>
          <w:color w:val="000000"/>
        </w:rPr>
        <w:t>就与系统搭建、数据存储与安全、跨境数据传输、隐私保护相关的强制性要求和最佳解决方案提供法律建议；</w:t>
      </w:r>
    </w:p>
    <w:p w14:paraId="40D52601" w14:textId="77777777" w:rsidR="00D54874" w:rsidRDefault="00D54874" w:rsidP="00D54874">
      <w:pPr>
        <w:pStyle w:val="af5"/>
        <w:numPr>
          <w:ilvl w:val="0"/>
          <w:numId w:val="11"/>
        </w:numPr>
        <w:spacing w:before="120"/>
        <w:ind w:left="690" w:hanging="240"/>
        <w:rPr>
          <w:rFonts w:ascii="宋体" w:eastAsia="宋体" w:hAnsi="Times New Roman"/>
          <w:color w:val="000000"/>
        </w:rPr>
      </w:pPr>
      <w:r w:rsidRPr="00D54874">
        <w:rPr>
          <w:rFonts w:ascii="宋体" w:eastAsia="宋体" w:hAnsi="Times New Roman" w:hint="eastAsia"/>
          <w:color w:val="000000"/>
        </w:rPr>
        <w:t>与金融科技有关的法律服务，包括区块链、电子签名、数据隐私、大数据、融资、许可、安全性要求和运营流程等事务；</w:t>
      </w:r>
    </w:p>
    <w:p w14:paraId="09ED0462" w14:textId="77777777" w:rsidR="00D54874" w:rsidRDefault="00D54874" w:rsidP="00D54874">
      <w:pPr>
        <w:pStyle w:val="af5"/>
        <w:numPr>
          <w:ilvl w:val="0"/>
          <w:numId w:val="12"/>
        </w:numPr>
        <w:spacing w:before="120"/>
        <w:ind w:left="690" w:hanging="240"/>
        <w:rPr>
          <w:rFonts w:ascii="宋体" w:eastAsia="宋体" w:hAnsi="Times New Roman"/>
          <w:color w:val="000000"/>
        </w:rPr>
      </w:pPr>
      <w:r w:rsidRPr="00D54874">
        <w:rPr>
          <w:rFonts w:ascii="宋体" w:eastAsia="宋体" w:hAnsi="Times New Roman" w:hint="eastAsia"/>
          <w:color w:val="000000"/>
        </w:rPr>
        <w:t>提供有关市场不当行为的法律建议，包括不实信息披露、卖空、内幕交易和市场操纵等；</w:t>
      </w:r>
    </w:p>
    <w:p w14:paraId="39D43C5B" w14:textId="77777777" w:rsidR="00D54874" w:rsidRDefault="00D54874" w:rsidP="00D54874">
      <w:pPr>
        <w:pStyle w:val="af5"/>
        <w:numPr>
          <w:ilvl w:val="0"/>
          <w:numId w:val="13"/>
        </w:numPr>
        <w:spacing w:before="120"/>
        <w:ind w:left="690" w:hanging="240"/>
        <w:rPr>
          <w:rFonts w:ascii="宋体" w:eastAsia="宋体" w:hAnsi="Times New Roman"/>
          <w:color w:val="000000"/>
        </w:rPr>
      </w:pPr>
      <w:r w:rsidRPr="00D54874">
        <w:rPr>
          <w:rFonts w:ascii="宋体" w:eastAsia="宋体" w:hAnsi="Times New Roman" w:hint="eastAsia"/>
          <w:color w:val="000000"/>
        </w:rPr>
        <w:t>为通过跨境渠道（包括</w:t>
      </w:r>
      <w:r w:rsidRPr="00D54874">
        <w:rPr>
          <w:rFonts w:ascii="宋体" w:eastAsia="宋体" w:hAnsi="Times New Roman"/>
          <w:color w:val="000000"/>
        </w:rPr>
        <w:t>QFII、QDII、存托凭证、沪深港通、债券通和跨境理财通等）开展的跨境投资活动提供法律建议，包括审查投资文件和提供监管方面的法律建议；</w:t>
      </w:r>
    </w:p>
    <w:p w14:paraId="435E266D" w14:textId="77777777" w:rsidR="00D54874" w:rsidRDefault="00D54874" w:rsidP="00D54874">
      <w:pPr>
        <w:pStyle w:val="af5"/>
        <w:numPr>
          <w:ilvl w:val="0"/>
          <w:numId w:val="14"/>
        </w:numPr>
        <w:spacing w:before="120"/>
        <w:ind w:left="690" w:hanging="240"/>
        <w:rPr>
          <w:rFonts w:ascii="宋体" w:eastAsia="宋体" w:hAnsi="Times New Roman"/>
          <w:color w:val="000000"/>
        </w:rPr>
      </w:pPr>
      <w:r w:rsidRPr="00D54874">
        <w:rPr>
          <w:rFonts w:ascii="宋体" w:eastAsia="宋体" w:hAnsi="Times New Roman" w:hint="eastAsia"/>
          <w:color w:val="000000"/>
        </w:rPr>
        <w:t>就中国的交易所清算系统、清算所的市场准入以及与之相关的风险提供法律建议；</w:t>
      </w:r>
    </w:p>
    <w:p w14:paraId="16A193E7" w14:textId="77777777" w:rsidR="00D54874" w:rsidRDefault="00D54874" w:rsidP="00D54874">
      <w:pPr>
        <w:pStyle w:val="af5"/>
        <w:numPr>
          <w:ilvl w:val="0"/>
          <w:numId w:val="15"/>
        </w:numPr>
        <w:spacing w:before="120"/>
        <w:ind w:left="690" w:hanging="240"/>
        <w:rPr>
          <w:rFonts w:ascii="宋体" w:eastAsia="宋体" w:hAnsi="Times New Roman"/>
          <w:color w:val="000000"/>
        </w:rPr>
      </w:pPr>
      <w:r w:rsidRPr="00D54874">
        <w:rPr>
          <w:rFonts w:ascii="宋体" w:eastAsia="宋体" w:hAnsi="Times New Roman" w:hint="eastAsia"/>
          <w:color w:val="000000"/>
        </w:rPr>
        <w:t>协助客户开展跨司法管辖区的监管调查和跨境执行问题</w:t>
      </w:r>
      <w:r w:rsidRPr="00D54874">
        <w:rPr>
          <w:rFonts w:ascii="宋体" w:eastAsia="宋体" w:hAnsi="Times New Roman"/>
          <w:color w:val="000000"/>
        </w:rPr>
        <w:t>;</w:t>
      </w:r>
    </w:p>
    <w:p w14:paraId="73C0148C" w14:textId="77777777" w:rsidR="00D54874" w:rsidRDefault="00D54874" w:rsidP="00D54874">
      <w:pPr>
        <w:pStyle w:val="af5"/>
        <w:numPr>
          <w:ilvl w:val="0"/>
          <w:numId w:val="16"/>
        </w:numPr>
        <w:spacing w:before="120"/>
        <w:ind w:left="690" w:hanging="240"/>
        <w:rPr>
          <w:rFonts w:ascii="宋体" w:eastAsia="宋体" w:hAnsi="Times New Roman"/>
          <w:color w:val="000000"/>
        </w:rPr>
      </w:pPr>
      <w:r w:rsidRPr="00D54874">
        <w:rPr>
          <w:rFonts w:ascii="宋体" w:eastAsia="宋体" w:hAnsi="Times New Roman" w:hint="eastAsia"/>
          <w:color w:val="000000"/>
        </w:rPr>
        <w:t>就外汇问题、融资租赁法律问题、保理法律问题、资产管理法律问题提供法律建议；</w:t>
      </w:r>
    </w:p>
    <w:p w14:paraId="3351C337" w14:textId="77777777" w:rsidR="00D54874" w:rsidRDefault="00D54874" w:rsidP="00D54874">
      <w:pPr>
        <w:pStyle w:val="af5"/>
        <w:numPr>
          <w:ilvl w:val="0"/>
          <w:numId w:val="17"/>
        </w:numPr>
        <w:spacing w:before="120"/>
        <w:ind w:left="690" w:hanging="240"/>
        <w:rPr>
          <w:rFonts w:ascii="宋体" w:eastAsia="宋体" w:hAnsi="Times New Roman"/>
          <w:color w:val="000000"/>
        </w:rPr>
      </w:pPr>
      <w:r w:rsidRPr="00D54874">
        <w:rPr>
          <w:rFonts w:ascii="宋体" w:eastAsia="宋体" w:hAnsi="Times New Roman" w:hint="eastAsia"/>
          <w:color w:val="000000"/>
        </w:rPr>
        <w:t>托管和其他证券服务相关的问题和文本起草；</w:t>
      </w:r>
    </w:p>
    <w:p w14:paraId="4E84FD39" w14:textId="77777777" w:rsidR="00D54874" w:rsidRDefault="00D54874" w:rsidP="00D54874">
      <w:pPr>
        <w:pStyle w:val="af5"/>
        <w:numPr>
          <w:ilvl w:val="0"/>
          <w:numId w:val="18"/>
        </w:numPr>
        <w:spacing w:before="120"/>
        <w:ind w:left="690" w:hanging="240"/>
        <w:rPr>
          <w:rFonts w:ascii="宋体" w:eastAsia="宋体" w:hAnsi="Times New Roman"/>
          <w:color w:val="000000"/>
        </w:rPr>
      </w:pPr>
      <w:r w:rsidRPr="00D54874">
        <w:rPr>
          <w:rFonts w:ascii="宋体" w:eastAsia="宋体" w:hAnsi="Times New Roman" w:hint="eastAsia"/>
          <w:color w:val="000000"/>
        </w:rPr>
        <w:t>承销相关法律问题和文本起草；</w:t>
      </w:r>
    </w:p>
    <w:p w14:paraId="62CE43EC" w14:textId="77777777" w:rsidR="00D54874" w:rsidRDefault="00D54874" w:rsidP="00D54874">
      <w:pPr>
        <w:pStyle w:val="af5"/>
        <w:numPr>
          <w:ilvl w:val="0"/>
          <w:numId w:val="19"/>
        </w:numPr>
        <w:spacing w:before="120"/>
        <w:ind w:left="690" w:hanging="240"/>
        <w:rPr>
          <w:rFonts w:ascii="宋体" w:eastAsia="宋体" w:hAnsi="Times New Roman"/>
          <w:color w:val="000000"/>
        </w:rPr>
      </w:pPr>
      <w:r w:rsidRPr="00D54874">
        <w:rPr>
          <w:rFonts w:ascii="宋体" w:eastAsia="宋体" w:hAnsi="Times New Roman" w:hint="eastAsia"/>
          <w:color w:val="000000"/>
        </w:rPr>
        <w:t>涉及供应链融资、汽车金融、消费金融、金融产品销售等领域的互联网金融合规性分析、交易结构设计和法律文本准备；</w:t>
      </w:r>
    </w:p>
    <w:p w14:paraId="37C784EF" w14:textId="77777777" w:rsidR="00D54874" w:rsidRDefault="00D54874" w:rsidP="00D54874">
      <w:pPr>
        <w:pStyle w:val="af5"/>
        <w:numPr>
          <w:ilvl w:val="0"/>
          <w:numId w:val="20"/>
        </w:numPr>
        <w:spacing w:before="120"/>
        <w:ind w:left="690" w:hanging="240"/>
        <w:rPr>
          <w:rFonts w:ascii="宋体" w:eastAsia="宋体" w:hAnsi="Times New Roman"/>
          <w:color w:val="000000"/>
        </w:rPr>
      </w:pPr>
      <w:r w:rsidRPr="00D54874">
        <w:rPr>
          <w:rFonts w:ascii="宋体" w:eastAsia="宋体" w:hAnsi="Times New Roman" w:hint="eastAsia"/>
          <w:color w:val="000000"/>
        </w:rPr>
        <w:t>衍生品交易的法律结构设计和文本准备，涉及货币、商品、股权、黄金等多类产品；</w:t>
      </w:r>
    </w:p>
    <w:p w14:paraId="1B651718" w14:textId="77777777" w:rsidR="00D54874" w:rsidRDefault="00D54874" w:rsidP="00D54874">
      <w:pPr>
        <w:pStyle w:val="af5"/>
        <w:numPr>
          <w:ilvl w:val="0"/>
          <w:numId w:val="21"/>
        </w:numPr>
        <w:spacing w:before="120"/>
        <w:ind w:left="690" w:hanging="240"/>
        <w:rPr>
          <w:rFonts w:ascii="宋体" w:eastAsia="宋体" w:hAnsi="Times New Roman"/>
          <w:color w:val="000000"/>
        </w:rPr>
      </w:pPr>
      <w:r w:rsidRPr="00D54874">
        <w:rPr>
          <w:rFonts w:ascii="宋体" w:eastAsia="宋体" w:hAnsi="Times New Roman" w:hint="eastAsia"/>
          <w:color w:val="000000"/>
        </w:rPr>
        <w:t>协助客户应对证券投资、资产管理、银行、外汇、反洗钱等方面的监管调查。</w:t>
      </w:r>
    </w:p>
    <w:p w14:paraId="207545F0" w14:textId="77777777" w:rsidR="00D54874" w:rsidRDefault="00D54874" w:rsidP="00D54874">
      <w:pPr>
        <w:pStyle w:val="af5"/>
        <w:spacing w:before="120"/>
        <w:rPr>
          <w:rFonts w:ascii="宋体" w:eastAsia="宋体" w:hAnsi="Times New Roman"/>
          <w:color w:val="000000"/>
        </w:rPr>
      </w:pPr>
      <w:r w:rsidRPr="00D54874">
        <w:rPr>
          <w:rFonts w:ascii="宋体" w:eastAsia="宋体" w:hAnsi="Times New Roman" w:hint="eastAsia"/>
          <w:color w:val="000000"/>
        </w:rPr>
        <w:t>代表性合资</w:t>
      </w:r>
      <w:r w:rsidRPr="00D54874">
        <w:rPr>
          <w:rFonts w:ascii="宋体" w:eastAsia="宋体" w:hAnsi="Times New Roman"/>
          <w:color w:val="000000"/>
        </w:rPr>
        <w:t>/并购项目：</w:t>
      </w:r>
    </w:p>
    <w:p w14:paraId="2FD6B938" w14:textId="77777777" w:rsidR="00D54874" w:rsidRDefault="00D54874" w:rsidP="00D54874">
      <w:pPr>
        <w:pStyle w:val="af5"/>
        <w:numPr>
          <w:ilvl w:val="0"/>
          <w:numId w:val="22"/>
        </w:numPr>
        <w:spacing w:before="120"/>
        <w:ind w:left="690" w:hanging="240"/>
        <w:rPr>
          <w:rFonts w:ascii="宋体" w:eastAsia="宋体" w:hAnsi="Times New Roman"/>
          <w:color w:val="000000"/>
        </w:rPr>
      </w:pPr>
      <w:r w:rsidRPr="00D54874">
        <w:rPr>
          <w:rFonts w:ascii="宋体" w:eastAsia="宋体" w:hAnsi="Times New Roman" w:hint="eastAsia"/>
          <w:color w:val="000000"/>
        </w:rPr>
        <w:t>商业银行：代表花旗银行处置其在中国的零售银行业务；代表一家国际银行处置其在中国得零售银行业务；为中央汇金投资恒丰银行提供法律服务；为成方汇达参与锦州银行重组提供法律服务；为星展银行投资深圳农商行提供法律服务；为一家领先的金融科技集团提供境内外各类型互联网融资业务法律服务；为瑞银投资中国邮政储蓄银行提供法律服务；代表苏格兰皇家银行出售荷兰银行的零售银行业务；为渣打银行、瑞穗、瑞银、荷兰银行等将其各自在中国的分行转制为法人银行提供法律服务（首批外资银行分行本地化）。</w:t>
      </w:r>
    </w:p>
    <w:p w14:paraId="0EB5CBC7" w14:textId="77777777" w:rsidR="00D54874" w:rsidRDefault="00D54874" w:rsidP="00D54874">
      <w:pPr>
        <w:pStyle w:val="af5"/>
        <w:numPr>
          <w:ilvl w:val="0"/>
          <w:numId w:val="23"/>
        </w:numPr>
        <w:spacing w:before="120"/>
        <w:ind w:left="690" w:hanging="240"/>
        <w:rPr>
          <w:rFonts w:ascii="宋体" w:eastAsia="宋体" w:hAnsi="Times New Roman"/>
          <w:color w:val="000000"/>
        </w:rPr>
      </w:pPr>
      <w:r w:rsidRPr="00D54874">
        <w:rPr>
          <w:rFonts w:ascii="宋体" w:eastAsia="宋体" w:hAnsi="Times New Roman" w:hint="eastAsia"/>
          <w:color w:val="000000"/>
        </w:rPr>
        <w:t>资产管理：代表一家总部位于欧洲的国际金融机构，从其国有合资伙伴手中收购合资基金管理公司的股权</w:t>
      </w:r>
      <w:r w:rsidRPr="00D54874">
        <w:rPr>
          <w:rFonts w:ascii="宋体" w:eastAsia="宋体" w:hAnsi="Times New Roman"/>
          <w:color w:val="000000"/>
        </w:rPr>
        <w:t>; 代表一家总部位于美国的基金管理公司，对中国的一家基金管理公司进行潜在的股权增资;代表一家总部位于北美的国际金融机构出售其在一家合资基金管理公司所持股权；为一家外资私募股基金管理人在中国的相关重组业务提供法律服务；为国泰君安证券股份有限公司收购德国安联集团持有的国联安基金管理有限公司49%的股权提供法律服务；代表摩根士丹利增持合资基金管理公司股权，股权比例由不足50%增至100%; 代表瑞银集团就其与瑞士信贷合并</w:t>
      </w:r>
      <w:r w:rsidRPr="00D54874">
        <w:rPr>
          <w:rFonts w:ascii="宋体" w:eastAsia="宋体" w:hAnsi="Times New Roman" w:hint="eastAsia"/>
          <w:color w:val="000000"/>
        </w:rPr>
        <w:t>所涉基金管理公司相关监管申报事宜提供法律服务；</w:t>
      </w:r>
      <w:r w:rsidRPr="00D54874">
        <w:rPr>
          <w:rFonts w:ascii="宋体" w:eastAsia="宋体" w:hAnsi="Times New Roman"/>
          <w:color w:val="000000"/>
        </w:rPr>
        <w:t xml:space="preserve"> 代表华平投资受让中欧基金管理有限公司23.3%的股权；代表美国华平投资出售其在华宝基金管理公司的部分股权；代表华平投资就其在华基金管理公司及其他资产管理平台的日常运营和投资事宜提供法律服务；代表贝莱德集团设立首家外资全资持股的公募基金公司；为一家另类资产管理公司在华相关业务提供法律服务；为瑞银投资中国信达资产管理公司提供法律服务；为某美国私募投资基金在中国设立不良资产收购平台提供法律服务。</w:t>
      </w:r>
    </w:p>
    <w:p w14:paraId="02E913BC" w14:textId="77777777" w:rsidR="00D54874" w:rsidRDefault="00D54874" w:rsidP="00D54874">
      <w:pPr>
        <w:pStyle w:val="af5"/>
        <w:numPr>
          <w:ilvl w:val="0"/>
          <w:numId w:val="24"/>
        </w:numPr>
        <w:spacing w:before="120"/>
        <w:ind w:left="690" w:hanging="240"/>
        <w:rPr>
          <w:rFonts w:ascii="宋体" w:eastAsia="宋体" w:hAnsi="Times New Roman"/>
          <w:color w:val="000000"/>
        </w:rPr>
      </w:pPr>
      <w:r w:rsidRPr="00D54874">
        <w:rPr>
          <w:rFonts w:ascii="宋体" w:eastAsia="宋体" w:hAnsi="Times New Roman" w:hint="eastAsia"/>
          <w:color w:val="000000"/>
        </w:rPr>
        <w:t>财富管理：代表一家领先的全球资产管理公司成立一家外资控股的财富管理公司；为瑞银在中国设立创新的财富管理公司提供法律服务；代表瑞士信贷通过其证券子公司在中国获得设立外资财富管理相关牌照；代表一家美国基金管理人拟投资一家中国境内银行旗下财富管理子公司；协助蚂蚁集团就其财富管理平台（</w:t>
      </w:r>
      <w:r w:rsidRPr="00D54874">
        <w:rPr>
          <w:rFonts w:ascii="宋体" w:eastAsia="宋体" w:hAnsi="Times New Roman"/>
          <w:color w:val="000000"/>
        </w:rPr>
        <w:t>Ant Wealth）分销各类资产管理/财富管理产品提供法律服务;为瑞银、花旗、汇丰、星展以及东亚银行多家国际银行等提供境内财富管理业务相关法律咨询服务；代表花旗银行处置其在中国的零售银行业务（包括其财富管理业务）。</w:t>
      </w:r>
    </w:p>
    <w:p w14:paraId="330E6E75" w14:textId="77777777" w:rsidR="00D54874" w:rsidRDefault="00D54874" w:rsidP="00D54874">
      <w:pPr>
        <w:pStyle w:val="af5"/>
        <w:numPr>
          <w:ilvl w:val="0"/>
          <w:numId w:val="25"/>
        </w:numPr>
        <w:spacing w:before="120"/>
        <w:ind w:left="690" w:hanging="240"/>
        <w:rPr>
          <w:rFonts w:ascii="宋体" w:eastAsia="宋体" w:hAnsi="Times New Roman"/>
          <w:color w:val="000000"/>
        </w:rPr>
      </w:pPr>
      <w:r w:rsidRPr="00D54874">
        <w:rPr>
          <w:rFonts w:ascii="宋体" w:eastAsia="宋体" w:hAnsi="Times New Roman" w:hint="eastAsia"/>
          <w:color w:val="000000"/>
        </w:rPr>
        <w:t>证券：代表瑞银与方正证券向北京国资公司出售其所持瑞信证券（中国）股权；代表一家全球领先的做市商在华设立外商独资证券公司；代表星展银行、摩根大通、野村证券（首批新设外资控股证券公司）、渣打银行（首家新设外商独资证券公司）、法国巴黎银行、汇丰银行</w:t>
      </w:r>
      <w:r w:rsidRPr="00D54874">
        <w:rPr>
          <w:rFonts w:ascii="宋体" w:eastAsia="宋体" w:hAnsi="Times New Roman"/>
          <w:color w:val="000000"/>
        </w:rPr>
        <w:t>(首家CEPA下港资控股合资证券公司)、瑞银（首家外商投资全牌照证券公司）、华兴资本、苏格兰皇家银行、瑞信和摩根士丹利分别在国内设立全牌照证券合资公司（包括公司新设、重组、增资和/或处置）；代表阿里巴巴投资华泰证券；代表东方证券承销保荐有限公司被其母公司东方证券股份有</w:t>
      </w:r>
      <w:r w:rsidRPr="00D54874">
        <w:rPr>
          <w:rFonts w:ascii="宋体" w:eastAsia="宋体" w:hAnsi="Times New Roman" w:hint="eastAsia"/>
          <w:color w:val="000000"/>
        </w:rPr>
        <w:t>限公司的吸收合并，并将其相关证券业务合并。</w:t>
      </w:r>
    </w:p>
    <w:p w14:paraId="1661653E" w14:textId="77777777" w:rsidR="00D54874" w:rsidRDefault="00D54874" w:rsidP="00D54874">
      <w:pPr>
        <w:pStyle w:val="af5"/>
        <w:numPr>
          <w:ilvl w:val="0"/>
          <w:numId w:val="26"/>
        </w:numPr>
        <w:spacing w:before="120"/>
        <w:ind w:left="690" w:hanging="240"/>
        <w:rPr>
          <w:rFonts w:ascii="宋体" w:eastAsia="宋体" w:hAnsi="Times New Roman"/>
          <w:color w:val="000000"/>
        </w:rPr>
      </w:pPr>
      <w:r w:rsidRPr="00D54874">
        <w:rPr>
          <w:rFonts w:ascii="宋体" w:eastAsia="宋体" w:hAnsi="Times New Roman" w:hint="eastAsia"/>
          <w:color w:val="000000"/>
        </w:rPr>
        <w:t>期货：代表摩根士丹利在中国设立一家外商独资期货经纪公司，系首家新设外商独资期货经纪公司；代表瑞银集团完成其在中国境内期货经纪公司的收购交易；代表一家著名的国际金融机构在中国设立一家外商独资期货经纪公司；代表摩根大通完成对一家中国期货公司</w:t>
      </w:r>
      <w:r w:rsidRPr="00D54874">
        <w:rPr>
          <w:rFonts w:ascii="宋体" w:eastAsia="宋体" w:hAnsi="Times New Roman"/>
          <w:color w:val="000000"/>
        </w:rPr>
        <w:t>49%股权的收购，并进一步增持剩余51%股权，实现全资控股，成立首家外资全资控股期货公司，这是首批通过股权收购方式实现外商全资持有公募基金公司的案例；为荷兰银行/苏格兰皇家银行收购一家期货公司49%的股权以及目标公司的进一步股权重组提供法律服务。</w:t>
      </w:r>
    </w:p>
    <w:p w14:paraId="56E5244E" w14:textId="77777777" w:rsidR="00D54874" w:rsidRDefault="00D54874" w:rsidP="00D54874">
      <w:pPr>
        <w:pStyle w:val="af5"/>
        <w:numPr>
          <w:ilvl w:val="0"/>
          <w:numId w:val="27"/>
        </w:numPr>
        <w:spacing w:before="120"/>
        <w:ind w:left="690" w:hanging="240"/>
        <w:rPr>
          <w:rFonts w:ascii="宋体" w:eastAsia="宋体" w:hAnsi="Times New Roman"/>
          <w:color w:val="000000"/>
        </w:rPr>
      </w:pPr>
      <w:r w:rsidRPr="00D54874">
        <w:rPr>
          <w:rFonts w:ascii="宋体" w:eastAsia="宋体" w:hAnsi="Times New Roman" w:hint="eastAsia"/>
          <w:color w:val="000000"/>
        </w:rPr>
        <w:t>保险：代表忠利保险收购中意财险剩余</w:t>
      </w:r>
      <w:r w:rsidRPr="00D54874">
        <w:rPr>
          <w:rFonts w:ascii="宋体" w:eastAsia="宋体" w:hAnsi="Times New Roman"/>
          <w:color w:val="000000"/>
        </w:rPr>
        <w:t>51%的中资股权；代表摩根士丹利投资众安在线财产保险；代表某境内集团投资一家总部位于欧洲的海外保险集团；代表野村证券投资新华保险；代表瑞银投资信达资产管理（包括其保险子公司）。</w:t>
      </w:r>
    </w:p>
    <w:p w14:paraId="02BF0C7F" w14:textId="77777777" w:rsidR="00D54874" w:rsidRDefault="00D54874" w:rsidP="00D54874">
      <w:pPr>
        <w:pStyle w:val="af5"/>
        <w:numPr>
          <w:ilvl w:val="0"/>
          <w:numId w:val="28"/>
        </w:numPr>
        <w:spacing w:before="120"/>
        <w:ind w:left="690" w:hanging="240"/>
        <w:rPr>
          <w:rFonts w:ascii="宋体" w:eastAsia="宋体" w:hAnsi="Times New Roman"/>
          <w:color w:val="000000"/>
        </w:rPr>
      </w:pPr>
      <w:r w:rsidRPr="00D54874">
        <w:rPr>
          <w:rFonts w:ascii="宋体" w:eastAsia="宋体" w:hAnsi="Times New Roman" w:hint="eastAsia"/>
          <w:color w:val="000000"/>
        </w:rPr>
        <w:t>信托：代表中央汇金参与关于长城资产的风险处置项目；代表工作组处理华信信托的风险处置；代表蜀道集团和春晓公司参与四川信托风险处置；代表上海电气等四家上海市国资集团联合投资体组成的重组方全程处理安信信托风险处置；代表某机构参与新华信托重整。</w:t>
      </w:r>
    </w:p>
    <w:p w14:paraId="4EF3CF62" w14:textId="77777777" w:rsidR="00D54874" w:rsidRDefault="00D54874" w:rsidP="00D54874">
      <w:pPr>
        <w:pStyle w:val="af5"/>
        <w:numPr>
          <w:ilvl w:val="0"/>
          <w:numId w:val="29"/>
        </w:numPr>
        <w:spacing w:before="120"/>
        <w:ind w:left="690" w:hanging="240"/>
        <w:rPr>
          <w:rFonts w:ascii="宋体" w:eastAsia="宋体" w:hAnsi="Times New Roman"/>
          <w:color w:val="000000"/>
        </w:rPr>
      </w:pPr>
      <w:r w:rsidRPr="00D54874">
        <w:rPr>
          <w:rFonts w:ascii="宋体" w:eastAsia="宋体" w:hAnsi="Times New Roman" w:hint="eastAsia"/>
          <w:color w:val="000000"/>
        </w:rPr>
        <w:t>科技金融：为一家领先的金融科技集团国内日常金融相关业务和国际化业务提供法律服务；为一家西班牙银行就其区块链技术在中国市场使用提供法律意见；为一家美国电子支付服务商在全球多个国际或地区开展的跨境汇款业务提供法律意见；为一家国际知名银行在瑞士、新加坡、香港特别行政区等多个国家或地区通过应用软件提供客户服务的业务提供法律意见；为一家合资证券公司与境外关联公司合作开展证券交易互联互通业务提供法律意见；为一家新加坡电子支付服务商向中国客户提供跨境付款业务提供法律意见；为一家合资银行通过应用软件开展跨境市场营销活动提供法律意见；为一家加拿大银行通过应用软件向中国客户提供金融产品交易服务；为欧洲期货交易所清算公司就其向中国结算参与人与境外结算参与人之间的交易提供结算服务提供法律意见。</w:t>
      </w:r>
    </w:p>
    <w:p w14:paraId="32AD3204" w14:textId="77777777" w:rsidR="00D54874" w:rsidRDefault="00D54874" w:rsidP="00D54874">
      <w:pPr>
        <w:pStyle w:val="af5"/>
        <w:spacing w:after="0" w:line="480" w:lineRule="auto"/>
        <w:rPr>
          <w:rFonts w:ascii="宋体" w:eastAsia="宋体" w:hAnsi="宋体"/>
          <w:b/>
          <w:sz w:val="24"/>
        </w:rPr>
      </w:pPr>
      <w:r w:rsidRPr="00D54874">
        <w:rPr>
          <w:rFonts w:ascii="宋体" w:eastAsia="宋体" w:hAnsi="宋体" w:hint="eastAsia"/>
          <w:b/>
          <w:sz w:val="24"/>
        </w:rPr>
        <w:t>教育背景</w:t>
      </w:r>
    </w:p>
    <w:p w14:paraId="5A3435AD" w14:textId="77777777" w:rsidR="00D54874" w:rsidRDefault="00D54874" w:rsidP="00D54874">
      <w:pPr>
        <w:pStyle w:val="af5"/>
        <w:numPr>
          <w:ilvl w:val="0"/>
          <w:numId w:val="30"/>
        </w:numPr>
        <w:spacing w:before="120"/>
        <w:ind w:left="690" w:hanging="240"/>
        <w:rPr>
          <w:rFonts w:ascii="宋体" w:eastAsia="宋体" w:hAnsi="Times New Roman"/>
          <w:color w:val="000000"/>
        </w:rPr>
      </w:pPr>
      <w:r w:rsidRPr="00D54874">
        <w:rPr>
          <w:rFonts w:ascii="宋体" w:eastAsia="宋体" w:hAnsi="Times New Roman" w:hint="eastAsia"/>
          <w:color w:val="000000"/>
        </w:rPr>
        <w:t>北京大学法学院，法学学士</w:t>
      </w:r>
    </w:p>
    <w:p w14:paraId="5B64EB37" w14:textId="77777777" w:rsidR="00D54874" w:rsidRDefault="00D54874" w:rsidP="00D54874">
      <w:pPr>
        <w:pStyle w:val="af5"/>
        <w:spacing w:after="0" w:line="480" w:lineRule="auto"/>
        <w:rPr>
          <w:rFonts w:ascii="宋体" w:eastAsia="宋体" w:hAnsi="宋体"/>
          <w:b/>
          <w:sz w:val="24"/>
        </w:rPr>
      </w:pPr>
      <w:r w:rsidRPr="00D54874">
        <w:rPr>
          <w:rFonts w:ascii="宋体" w:eastAsia="宋体" w:hAnsi="宋体" w:hint="eastAsia"/>
          <w:b/>
          <w:sz w:val="24"/>
        </w:rPr>
        <w:t>执业资格</w:t>
      </w:r>
    </w:p>
    <w:p w14:paraId="6DA6C1D3" w14:textId="77777777" w:rsidR="00D54874" w:rsidRDefault="00D54874" w:rsidP="00D54874">
      <w:pPr>
        <w:pStyle w:val="af5"/>
        <w:numPr>
          <w:ilvl w:val="0"/>
          <w:numId w:val="31"/>
        </w:numPr>
        <w:spacing w:before="120"/>
        <w:ind w:left="690" w:hanging="240"/>
        <w:rPr>
          <w:rFonts w:ascii="宋体" w:eastAsia="宋体" w:hAnsi="Times New Roman"/>
          <w:color w:val="000000"/>
        </w:rPr>
      </w:pPr>
      <w:r w:rsidRPr="00D54874">
        <w:rPr>
          <w:rFonts w:ascii="宋体" w:eastAsia="宋体" w:hAnsi="Times New Roman" w:hint="eastAsia"/>
          <w:color w:val="000000"/>
        </w:rPr>
        <w:t>中华人民共和国执业律师</w:t>
      </w:r>
    </w:p>
    <w:p w14:paraId="6E18F804" w14:textId="77777777" w:rsidR="00D54874" w:rsidRDefault="00D54874" w:rsidP="00D54874">
      <w:pPr>
        <w:pStyle w:val="af5"/>
        <w:numPr>
          <w:ilvl w:val="0"/>
          <w:numId w:val="32"/>
        </w:numPr>
        <w:spacing w:before="120"/>
        <w:ind w:left="690" w:hanging="240"/>
        <w:rPr>
          <w:rFonts w:ascii="宋体" w:eastAsia="宋体" w:hAnsi="Times New Roman"/>
          <w:color w:val="000000"/>
        </w:rPr>
      </w:pPr>
      <w:r w:rsidRPr="00D54874">
        <w:rPr>
          <w:rFonts w:ascii="宋体" w:eastAsia="宋体" w:hAnsi="Times New Roman" w:hint="eastAsia"/>
          <w:color w:val="000000"/>
        </w:rPr>
        <w:t>香港特别行政区注册外地律师</w:t>
      </w:r>
    </w:p>
    <w:p w14:paraId="1F13686C" w14:textId="77777777" w:rsidR="00D54874" w:rsidRDefault="00D54874" w:rsidP="00D54874">
      <w:pPr>
        <w:pStyle w:val="af5"/>
        <w:spacing w:after="0" w:line="480" w:lineRule="auto"/>
        <w:rPr>
          <w:rFonts w:ascii="宋体" w:eastAsia="宋体" w:hAnsi="宋体"/>
          <w:b/>
          <w:sz w:val="24"/>
        </w:rPr>
      </w:pPr>
      <w:r w:rsidRPr="00D54874">
        <w:rPr>
          <w:rFonts w:ascii="宋体" w:eastAsia="宋体" w:hAnsi="宋体" w:hint="eastAsia"/>
          <w:b/>
          <w:sz w:val="24"/>
        </w:rPr>
        <w:t>职业背景</w:t>
      </w:r>
    </w:p>
    <w:p w14:paraId="4868DD57" w14:textId="77777777" w:rsidR="00D54874" w:rsidRDefault="00D54874" w:rsidP="00D54874">
      <w:pPr>
        <w:pStyle w:val="af5"/>
        <w:numPr>
          <w:ilvl w:val="0"/>
          <w:numId w:val="33"/>
        </w:numPr>
        <w:spacing w:before="120"/>
        <w:ind w:left="690" w:hanging="240"/>
        <w:rPr>
          <w:rFonts w:ascii="宋体" w:eastAsia="宋体" w:hAnsi="Times New Roman"/>
          <w:color w:val="000000"/>
        </w:rPr>
      </w:pPr>
      <w:r w:rsidRPr="00D54874">
        <w:rPr>
          <w:rFonts w:ascii="宋体" w:eastAsia="宋体" w:hAnsi="Times New Roman" w:hint="eastAsia"/>
          <w:color w:val="000000"/>
        </w:rPr>
        <w:t>喻菡律师于</w:t>
      </w:r>
      <w:r w:rsidRPr="00D54874">
        <w:rPr>
          <w:rFonts w:ascii="宋体" w:eastAsia="宋体" w:hAnsi="Times New Roman"/>
          <w:color w:val="000000"/>
        </w:rPr>
        <w:t>2018年加入方达律师事务所。在此之前，喻律师担任Linklaters Zhao Sheng的合伙人。</w:t>
      </w:r>
    </w:p>
    <w:p w14:paraId="21CF9B4A" w14:textId="77777777" w:rsidR="00D54874" w:rsidRDefault="00D54874" w:rsidP="00D54874">
      <w:pPr>
        <w:pStyle w:val="af5"/>
        <w:spacing w:after="0" w:line="480" w:lineRule="auto"/>
        <w:rPr>
          <w:rFonts w:ascii="宋体" w:eastAsia="宋体" w:hAnsi="宋体"/>
          <w:b/>
          <w:sz w:val="24"/>
        </w:rPr>
      </w:pPr>
      <w:r w:rsidRPr="00D54874">
        <w:rPr>
          <w:rFonts w:ascii="宋体" w:eastAsia="宋体" w:hAnsi="宋体" w:hint="eastAsia"/>
          <w:b/>
          <w:sz w:val="24"/>
        </w:rPr>
        <w:t>其他信息</w:t>
      </w:r>
    </w:p>
    <w:p w14:paraId="3CCD20ED" w14:textId="77777777" w:rsidR="00D54874" w:rsidRDefault="00D54874" w:rsidP="00D54874">
      <w:pPr>
        <w:pStyle w:val="af5"/>
        <w:spacing w:after="0" w:line="480" w:lineRule="auto"/>
        <w:rPr>
          <w:rFonts w:ascii="宋体" w:eastAsia="宋体" w:hAnsi="宋体"/>
          <w:b/>
          <w:sz w:val="24"/>
        </w:rPr>
      </w:pPr>
      <w:r w:rsidRPr="00D54874">
        <w:rPr>
          <w:rFonts w:ascii="宋体" w:eastAsia="宋体" w:hAnsi="宋体" w:hint="eastAsia"/>
          <w:b/>
          <w:sz w:val="24"/>
        </w:rPr>
        <w:t>获奖情况</w:t>
      </w:r>
    </w:p>
    <w:p w14:paraId="38D5E716" w14:textId="77777777" w:rsidR="00D54874" w:rsidRDefault="00D54874" w:rsidP="00D54874">
      <w:pPr>
        <w:pStyle w:val="af5"/>
        <w:numPr>
          <w:ilvl w:val="0"/>
          <w:numId w:val="34"/>
        </w:numPr>
        <w:spacing w:before="120"/>
        <w:ind w:left="690" w:hanging="240"/>
        <w:rPr>
          <w:rFonts w:ascii="宋体" w:eastAsia="宋体" w:hAnsi="Times New Roman"/>
          <w:color w:val="000000"/>
        </w:rPr>
      </w:pPr>
      <w:r w:rsidRPr="00D54874">
        <w:rPr>
          <w:rFonts w:ascii="宋体" w:eastAsia="宋体" w:hAnsi="Times New Roman"/>
          <w:color w:val="000000"/>
        </w:rPr>
        <w:t>喻律师被《法律500强》（The Legal 500）评为亚太地区公司和并购专业的</w:t>
      </w:r>
      <w:r w:rsidRPr="00D54874">
        <w:rPr>
          <w:rFonts w:ascii="宋体" w:eastAsia="宋体" w:hAnsi="Times New Roman"/>
          <w:color w:val="000000"/>
        </w:rPr>
        <w:t>“</w:t>
      </w:r>
      <w:r w:rsidRPr="00D54874">
        <w:rPr>
          <w:rFonts w:ascii="宋体" w:eastAsia="宋体" w:hAnsi="Times New Roman"/>
          <w:color w:val="000000"/>
        </w:rPr>
        <w:t>明日之星</w:t>
      </w:r>
      <w:r w:rsidRPr="00D54874">
        <w:rPr>
          <w:rFonts w:ascii="宋体" w:eastAsia="宋体" w:hAnsi="Times New Roman"/>
          <w:color w:val="000000"/>
        </w:rPr>
        <w:t>”</w:t>
      </w:r>
      <w:r w:rsidRPr="00D54874">
        <w:rPr>
          <w:rFonts w:ascii="宋体" w:eastAsia="宋体" w:hAnsi="Times New Roman"/>
          <w:color w:val="000000"/>
        </w:rPr>
        <w:t xml:space="preserve">（Next Generation Partners）； </w:t>
      </w:r>
    </w:p>
    <w:p w14:paraId="101E0F7D" w14:textId="77777777" w:rsidR="00D54874" w:rsidRDefault="00D54874" w:rsidP="00D54874">
      <w:pPr>
        <w:pStyle w:val="af5"/>
        <w:numPr>
          <w:ilvl w:val="0"/>
          <w:numId w:val="35"/>
        </w:numPr>
        <w:spacing w:before="120"/>
        <w:ind w:left="690" w:hanging="240"/>
        <w:rPr>
          <w:rFonts w:ascii="宋体" w:eastAsia="宋体" w:hAnsi="Times New Roman"/>
          <w:color w:val="000000"/>
        </w:rPr>
      </w:pPr>
      <w:r w:rsidRPr="00D54874">
        <w:rPr>
          <w:rFonts w:ascii="宋体" w:eastAsia="宋体" w:hAnsi="Times New Roman"/>
          <w:color w:val="000000"/>
        </w:rPr>
        <w:t>喻律师分别于2024年和2025年被《国际金融法律评论》（IFLR1000）评为金融监管领域</w:t>
      </w:r>
      <w:r w:rsidRPr="00D54874">
        <w:rPr>
          <w:rFonts w:ascii="宋体" w:eastAsia="宋体" w:hAnsi="Times New Roman"/>
          <w:color w:val="000000"/>
        </w:rPr>
        <w:t>“</w:t>
      </w:r>
      <w:r w:rsidRPr="00D54874">
        <w:rPr>
          <w:rFonts w:ascii="宋体" w:eastAsia="宋体" w:hAnsi="Times New Roman"/>
          <w:color w:val="000000"/>
        </w:rPr>
        <w:t>高度推荐</w:t>
      </w:r>
      <w:r w:rsidRPr="00D54874">
        <w:rPr>
          <w:rFonts w:ascii="宋体" w:eastAsia="宋体" w:hAnsi="Times New Roman"/>
          <w:color w:val="000000"/>
        </w:rPr>
        <w:t>”</w:t>
      </w:r>
      <w:r w:rsidRPr="00D54874">
        <w:rPr>
          <w:rFonts w:ascii="宋体" w:eastAsia="宋体" w:hAnsi="Times New Roman"/>
          <w:color w:val="000000"/>
        </w:rPr>
        <w:t xml:space="preserve">律师； </w:t>
      </w:r>
    </w:p>
    <w:p w14:paraId="30B5CBA9" w14:textId="77777777" w:rsidR="00D54874" w:rsidRDefault="00D54874" w:rsidP="00D54874">
      <w:pPr>
        <w:pStyle w:val="af5"/>
        <w:numPr>
          <w:ilvl w:val="0"/>
          <w:numId w:val="36"/>
        </w:numPr>
        <w:spacing w:before="120"/>
        <w:ind w:left="690" w:hanging="240"/>
        <w:rPr>
          <w:rFonts w:ascii="宋体" w:eastAsia="宋体" w:hAnsi="Times New Roman"/>
          <w:color w:val="000000"/>
        </w:rPr>
      </w:pPr>
      <w:r w:rsidRPr="00D54874">
        <w:rPr>
          <w:rFonts w:ascii="宋体" w:eastAsia="宋体" w:hAnsi="Times New Roman"/>
          <w:color w:val="000000"/>
        </w:rPr>
        <w:t xml:space="preserve">喻律师分别于2024年和2025年获评《国际金融法律评论》（IFLR1000） </w:t>
      </w:r>
      <w:r w:rsidRPr="00D54874">
        <w:rPr>
          <w:rFonts w:ascii="宋体" w:eastAsia="宋体" w:hAnsi="Times New Roman"/>
          <w:color w:val="000000"/>
        </w:rPr>
        <w:t>“</w:t>
      </w:r>
      <w:r w:rsidRPr="00D54874">
        <w:rPr>
          <w:rFonts w:ascii="宋体" w:eastAsia="宋体" w:hAnsi="Times New Roman"/>
          <w:color w:val="000000"/>
        </w:rPr>
        <w:t>女性领军合伙人</w:t>
      </w:r>
      <w:r w:rsidRPr="00D54874">
        <w:rPr>
          <w:rFonts w:ascii="宋体" w:eastAsia="宋体" w:hAnsi="Times New Roman"/>
          <w:color w:val="000000"/>
        </w:rPr>
        <w:t>”</w:t>
      </w:r>
      <w:r w:rsidRPr="00D54874">
        <w:rPr>
          <w:rFonts w:ascii="宋体" w:eastAsia="宋体" w:hAnsi="Times New Roman"/>
          <w:color w:val="000000"/>
        </w:rPr>
        <w:t xml:space="preserve">称号； </w:t>
      </w:r>
    </w:p>
    <w:p w14:paraId="310C6919" w14:textId="77777777" w:rsidR="00D54874" w:rsidRDefault="00D54874" w:rsidP="00D54874">
      <w:pPr>
        <w:pStyle w:val="af5"/>
        <w:numPr>
          <w:ilvl w:val="0"/>
          <w:numId w:val="37"/>
        </w:numPr>
        <w:spacing w:before="120"/>
        <w:ind w:left="690" w:hanging="240"/>
        <w:rPr>
          <w:rFonts w:ascii="宋体" w:eastAsia="宋体" w:hAnsi="Times New Roman"/>
          <w:color w:val="000000"/>
        </w:rPr>
      </w:pPr>
      <w:r w:rsidRPr="00D54874">
        <w:rPr>
          <w:rFonts w:ascii="宋体" w:eastAsia="宋体" w:hAnsi="Times New Roman"/>
          <w:color w:val="000000"/>
        </w:rPr>
        <w:t>喻律师获评《钱伯斯金融科技指南2025》</w:t>
      </w:r>
      <w:r w:rsidRPr="00D54874">
        <w:rPr>
          <w:rFonts w:ascii="宋体" w:eastAsia="宋体" w:hAnsi="Times New Roman"/>
          <w:color w:val="000000"/>
        </w:rPr>
        <w:t>“</w:t>
      </w:r>
      <w:r w:rsidRPr="00D54874">
        <w:rPr>
          <w:rFonts w:ascii="宋体" w:eastAsia="宋体" w:hAnsi="Times New Roman"/>
          <w:color w:val="000000"/>
        </w:rPr>
        <w:t>金融科技</w:t>
      </w:r>
      <w:r w:rsidRPr="00D54874">
        <w:rPr>
          <w:rFonts w:ascii="宋体" w:eastAsia="宋体" w:hAnsi="Times New Roman"/>
          <w:color w:val="000000"/>
        </w:rPr>
        <w:t>”</w:t>
      </w:r>
      <w:r w:rsidRPr="00D54874">
        <w:rPr>
          <w:rFonts w:ascii="宋体" w:eastAsia="宋体" w:hAnsi="Times New Roman"/>
          <w:color w:val="000000"/>
        </w:rPr>
        <w:t xml:space="preserve">领域第二级别律师； </w:t>
      </w:r>
    </w:p>
    <w:p w14:paraId="2F26CA37" w14:textId="77777777" w:rsidR="00D54874" w:rsidRDefault="00D54874" w:rsidP="00D54874">
      <w:pPr>
        <w:pStyle w:val="af5"/>
        <w:numPr>
          <w:ilvl w:val="0"/>
          <w:numId w:val="38"/>
        </w:numPr>
        <w:spacing w:before="120"/>
        <w:ind w:left="690" w:hanging="240"/>
        <w:rPr>
          <w:rFonts w:ascii="宋体" w:eastAsia="宋体" w:hAnsi="Times New Roman"/>
          <w:color w:val="000000"/>
        </w:rPr>
      </w:pPr>
      <w:r w:rsidRPr="00D54874">
        <w:rPr>
          <w:rFonts w:ascii="宋体" w:eastAsia="宋体" w:hAnsi="Times New Roman"/>
          <w:color w:val="000000"/>
        </w:rPr>
        <w:t>喻律师入选上海市司法局</w:t>
      </w:r>
      <w:r w:rsidRPr="00D54874">
        <w:rPr>
          <w:rFonts w:ascii="宋体" w:eastAsia="宋体" w:hAnsi="Times New Roman"/>
          <w:color w:val="000000"/>
        </w:rPr>
        <w:t>“</w:t>
      </w:r>
      <w:r w:rsidRPr="00D54874">
        <w:rPr>
          <w:rFonts w:ascii="宋体" w:eastAsia="宋体" w:hAnsi="Times New Roman"/>
          <w:color w:val="000000"/>
        </w:rPr>
        <w:t>鼎新法治人才库</w:t>
      </w:r>
      <w:r w:rsidRPr="00D54874">
        <w:rPr>
          <w:rFonts w:ascii="宋体" w:eastAsia="宋体" w:hAnsi="Times New Roman"/>
          <w:color w:val="000000"/>
        </w:rPr>
        <w:t>”</w:t>
      </w:r>
      <w:r w:rsidRPr="00D54874">
        <w:rPr>
          <w:rFonts w:ascii="宋体" w:eastAsia="宋体" w:hAnsi="Times New Roman"/>
          <w:color w:val="000000"/>
        </w:rPr>
        <w:t xml:space="preserve"> </w:t>
      </w:r>
    </w:p>
    <w:p w14:paraId="0E6AD1E7" w14:textId="77777777" w:rsidR="00D54874" w:rsidRDefault="00D54874" w:rsidP="00D54874">
      <w:pPr>
        <w:pStyle w:val="af5"/>
        <w:spacing w:after="0" w:line="480" w:lineRule="auto"/>
        <w:rPr>
          <w:rFonts w:ascii="宋体" w:eastAsia="宋体" w:hAnsi="宋体"/>
          <w:b/>
          <w:sz w:val="24"/>
        </w:rPr>
      </w:pPr>
      <w:r w:rsidRPr="00D54874">
        <w:rPr>
          <w:rFonts w:ascii="宋体" w:eastAsia="宋体" w:hAnsi="宋体" w:hint="eastAsia"/>
          <w:b/>
          <w:sz w:val="24"/>
        </w:rPr>
        <w:t>其他履职</w:t>
      </w:r>
    </w:p>
    <w:p w14:paraId="0ED64F50" w14:textId="77777777" w:rsidR="00D54874" w:rsidRDefault="00D54874" w:rsidP="00D54874">
      <w:pPr>
        <w:pStyle w:val="af5"/>
        <w:numPr>
          <w:ilvl w:val="0"/>
          <w:numId w:val="39"/>
        </w:numPr>
        <w:spacing w:before="120"/>
        <w:ind w:left="690" w:hanging="240"/>
        <w:rPr>
          <w:rFonts w:ascii="宋体" w:eastAsia="宋体" w:hAnsi="Times New Roman"/>
          <w:color w:val="000000"/>
        </w:rPr>
      </w:pPr>
      <w:r w:rsidRPr="00D54874">
        <w:rPr>
          <w:rFonts w:ascii="宋体" w:eastAsia="宋体" w:hAnsi="Times New Roman"/>
          <w:color w:val="000000"/>
        </w:rPr>
        <w:t xml:space="preserve">喻律师现任中国期货业协会第六届理事会法律与申诉专业委员会委员； </w:t>
      </w:r>
    </w:p>
    <w:p w14:paraId="6FF4CA2B" w14:textId="77777777" w:rsidR="00D54874" w:rsidRDefault="00D54874" w:rsidP="00D54874">
      <w:pPr>
        <w:pStyle w:val="af5"/>
        <w:numPr>
          <w:ilvl w:val="0"/>
          <w:numId w:val="40"/>
        </w:numPr>
        <w:spacing w:before="120"/>
        <w:ind w:left="690" w:hanging="240"/>
        <w:rPr>
          <w:rFonts w:ascii="宋体" w:eastAsia="宋体" w:hAnsi="Times New Roman"/>
          <w:color w:val="000000"/>
        </w:rPr>
      </w:pPr>
      <w:r w:rsidRPr="00D54874">
        <w:rPr>
          <w:rFonts w:ascii="宋体" w:eastAsia="宋体" w:hAnsi="Times New Roman"/>
          <w:color w:val="000000"/>
        </w:rPr>
        <w:t xml:space="preserve">喻律师现任上海市律师协会证券业务研究委员会委员； </w:t>
      </w:r>
    </w:p>
    <w:p w14:paraId="119A51C9" w14:textId="77777777" w:rsidR="00D54874" w:rsidRDefault="00D54874" w:rsidP="00D54874">
      <w:pPr>
        <w:pStyle w:val="af5"/>
        <w:numPr>
          <w:ilvl w:val="0"/>
          <w:numId w:val="41"/>
        </w:numPr>
        <w:spacing w:before="120"/>
        <w:ind w:left="690" w:hanging="240"/>
        <w:rPr>
          <w:rFonts w:ascii="宋体" w:eastAsia="宋体" w:hAnsi="Times New Roman"/>
          <w:color w:val="000000"/>
        </w:rPr>
      </w:pPr>
      <w:r w:rsidRPr="00D54874">
        <w:rPr>
          <w:rFonts w:ascii="宋体" w:eastAsia="宋体" w:hAnsi="Times New Roman"/>
          <w:color w:val="000000"/>
        </w:rPr>
        <w:t xml:space="preserve">喻律师现任中国银行业协会私人银行与财富管理业务专业委员会委员； </w:t>
      </w:r>
    </w:p>
    <w:p w14:paraId="4F0A196B" w14:textId="066E7EAE" w:rsidR="00A46A04" w:rsidRPr="00D54874" w:rsidRDefault="00D54874" w:rsidP="00D54874">
      <w:pPr>
        <w:pStyle w:val="af5"/>
        <w:numPr>
          <w:ilvl w:val="0"/>
          <w:numId w:val="42"/>
        </w:numPr>
        <w:spacing w:before="120"/>
        <w:ind w:left="690" w:hanging="240"/>
        <w:rPr>
          <w:rFonts w:ascii="宋体" w:eastAsia="宋体" w:hAnsi="Times New Roman"/>
          <w:color w:val="000000"/>
        </w:rPr>
      </w:pPr>
      <w:r w:rsidRPr="00D54874">
        <w:rPr>
          <w:rFonts w:ascii="宋体" w:eastAsia="宋体" w:hAnsi="Times New Roman"/>
          <w:color w:val="000000"/>
        </w:rPr>
        <w:t xml:space="preserve">喻律师受聘担任中共上海市委金融委员会办公室、中共上海市金融工作委员会外聘法律顾问。 </w:t>
      </w:r>
    </w:p>
    <w:sectPr w:rsidR="00A46A04" w:rsidRPr="00D5487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969F8"/>
    <w:multiLevelType w:val="singleLevel"/>
    <w:tmpl w:val="7CE002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2A3E88"/>
    <w:multiLevelType w:val="singleLevel"/>
    <w:tmpl w:val="891C85A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852D2D"/>
    <w:multiLevelType w:val="singleLevel"/>
    <w:tmpl w:val="9ED4B7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2C188E"/>
    <w:multiLevelType w:val="singleLevel"/>
    <w:tmpl w:val="B230812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4249BF"/>
    <w:multiLevelType w:val="singleLevel"/>
    <w:tmpl w:val="356CCDA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376C8E"/>
    <w:multiLevelType w:val="singleLevel"/>
    <w:tmpl w:val="14C881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9258DD"/>
    <w:multiLevelType w:val="singleLevel"/>
    <w:tmpl w:val="7CF436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381FF9"/>
    <w:multiLevelType w:val="singleLevel"/>
    <w:tmpl w:val="57D28F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420046"/>
    <w:multiLevelType w:val="singleLevel"/>
    <w:tmpl w:val="17E0497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E57D27"/>
    <w:multiLevelType w:val="singleLevel"/>
    <w:tmpl w:val="FD2E99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733B6E"/>
    <w:multiLevelType w:val="singleLevel"/>
    <w:tmpl w:val="A2EE0C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007DC8"/>
    <w:multiLevelType w:val="singleLevel"/>
    <w:tmpl w:val="77986B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1745A43"/>
    <w:multiLevelType w:val="singleLevel"/>
    <w:tmpl w:val="789A470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F24D2F"/>
    <w:multiLevelType w:val="singleLevel"/>
    <w:tmpl w:val="D64A82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424E54"/>
    <w:multiLevelType w:val="singleLevel"/>
    <w:tmpl w:val="73D882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175BDC"/>
    <w:multiLevelType w:val="singleLevel"/>
    <w:tmpl w:val="AFFAB6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1851CE"/>
    <w:multiLevelType w:val="singleLevel"/>
    <w:tmpl w:val="8D1A8B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B30E9C"/>
    <w:multiLevelType w:val="singleLevel"/>
    <w:tmpl w:val="712C13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0873C0"/>
    <w:multiLevelType w:val="singleLevel"/>
    <w:tmpl w:val="0720A8A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41056F"/>
    <w:multiLevelType w:val="singleLevel"/>
    <w:tmpl w:val="A20E74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A563EA"/>
    <w:multiLevelType w:val="singleLevel"/>
    <w:tmpl w:val="E1B6C00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235499"/>
    <w:multiLevelType w:val="singleLevel"/>
    <w:tmpl w:val="0518B7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767F25"/>
    <w:multiLevelType w:val="singleLevel"/>
    <w:tmpl w:val="526687B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737F02"/>
    <w:multiLevelType w:val="singleLevel"/>
    <w:tmpl w:val="183C3BE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537906"/>
    <w:multiLevelType w:val="singleLevel"/>
    <w:tmpl w:val="D1C03A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D33331"/>
    <w:multiLevelType w:val="singleLevel"/>
    <w:tmpl w:val="8A9035F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470532"/>
    <w:multiLevelType w:val="singleLevel"/>
    <w:tmpl w:val="8362B4E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6F179E"/>
    <w:multiLevelType w:val="singleLevel"/>
    <w:tmpl w:val="961416D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8F36AF"/>
    <w:multiLevelType w:val="singleLevel"/>
    <w:tmpl w:val="F3F8FDB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177BB2"/>
    <w:multiLevelType w:val="singleLevel"/>
    <w:tmpl w:val="30E048B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9F6071"/>
    <w:multiLevelType w:val="singleLevel"/>
    <w:tmpl w:val="AFFAB65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785C89"/>
    <w:multiLevelType w:val="singleLevel"/>
    <w:tmpl w:val="0C323A8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9A26E6"/>
    <w:multiLevelType w:val="singleLevel"/>
    <w:tmpl w:val="54906B6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AF0873"/>
    <w:multiLevelType w:val="singleLevel"/>
    <w:tmpl w:val="C366B1C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0E1962"/>
    <w:multiLevelType w:val="singleLevel"/>
    <w:tmpl w:val="27E003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D16B8C"/>
    <w:multiLevelType w:val="singleLevel"/>
    <w:tmpl w:val="CA5824C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0367E5"/>
    <w:multiLevelType w:val="singleLevel"/>
    <w:tmpl w:val="9946901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A4566D"/>
    <w:multiLevelType w:val="singleLevel"/>
    <w:tmpl w:val="005E4EC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F12FA6"/>
    <w:multiLevelType w:val="singleLevel"/>
    <w:tmpl w:val="90082BA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45287B"/>
    <w:multiLevelType w:val="singleLevel"/>
    <w:tmpl w:val="EF0664F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7"/>
  </w:num>
  <w:num w:numId="3">
    <w:abstractNumId w:val="21"/>
  </w:num>
  <w:num w:numId="4">
    <w:abstractNumId w:val="18"/>
  </w:num>
  <w:num w:numId="5">
    <w:abstractNumId w:val="37"/>
  </w:num>
  <w:num w:numId="6">
    <w:abstractNumId w:val="0"/>
  </w:num>
  <w:num w:numId="7">
    <w:abstractNumId w:val="31"/>
  </w:num>
  <w:num w:numId="8">
    <w:abstractNumId w:val="36"/>
  </w:num>
  <w:num w:numId="9">
    <w:abstractNumId w:val="34"/>
  </w:num>
  <w:num w:numId="10">
    <w:abstractNumId w:val="39"/>
  </w:num>
  <w:num w:numId="11">
    <w:abstractNumId w:val="30"/>
  </w:num>
  <w:num w:numId="12">
    <w:abstractNumId w:val="8"/>
  </w:num>
  <w:num w:numId="13">
    <w:abstractNumId w:val="12"/>
  </w:num>
  <w:num w:numId="14">
    <w:abstractNumId w:val="14"/>
  </w:num>
  <w:num w:numId="15">
    <w:abstractNumId w:val="13"/>
  </w:num>
  <w:num w:numId="16">
    <w:abstractNumId w:val="4"/>
  </w:num>
  <w:num w:numId="17">
    <w:abstractNumId w:val="19"/>
  </w:num>
  <w:num w:numId="18">
    <w:abstractNumId w:val="15"/>
  </w:num>
  <w:num w:numId="19">
    <w:abstractNumId w:val="9"/>
  </w:num>
  <w:num w:numId="20">
    <w:abstractNumId w:val="40"/>
  </w:num>
  <w:num w:numId="21">
    <w:abstractNumId w:val="1"/>
  </w:num>
  <w:num w:numId="22">
    <w:abstractNumId w:val="38"/>
  </w:num>
  <w:num w:numId="23">
    <w:abstractNumId w:val="28"/>
  </w:num>
  <w:num w:numId="24">
    <w:abstractNumId w:val="33"/>
  </w:num>
  <w:num w:numId="25">
    <w:abstractNumId w:val="5"/>
  </w:num>
  <w:num w:numId="26">
    <w:abstractNumId w:val="22"/>
  </w:num>
  <w:num w:numId="27">
    <w:abstractNumId w:val="3"/>
  </w:num>
  <w:num w:numId="28">
    <w:abstractNumId w:val="27"/>
  </w:num>
  <w:num w:numId="29">
    <w:abstractNumId w:val="35"/>
  </w:num>
  <w:num w:numId="30">
    <w:abstractNumId w:val="7"/>
  </w:num>
  <w:num w:numId="31">
    <w:abstractNumId w:val="29"/>
  </w:num>
  <w:num w:numId="32">
    <w:abstractNumId w:val="41"/>
  </w:num>
  <w:num w:numId="33">
    <w:abstractNumId w:val="20"/>
  </w:num>
  <w:num w:numId="34">
    <w:abstractNumId w:val="25"/>
  </w:num>
  <w:num w:numId="35">
    <w:abstractNumId w:val="23"/>
  </w:num>
  <w:num w:numId="36">
    <w:abstractNumId w:val="6"/>
  </w:num>
  <w:num w:numId="37">
    <w:abstractNumId w:val="10"/>
  </w:num>
  <w:num w:numId="38">
    <w:abstractNumId w:val="24"/>
  </w:num>
  <w:num w:numId="39">
    <w:abstractNumId w:val="2"/>
  </w:num>
  <w:num w:numId="40">
    <w:abstractNumId w:val="26"/>
  </w:num>
  <w:num w:numId="41">
    <w:abstractNumId w:val="32"/>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54874"/>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54874"/>
    <w:pPr>
      <w:spacing w:after="120"/>
    </w:pPr>
  </w:style>
  <w:style w:type="character" w:customStyle="1" w:styleId="af6">
    <w:name w:val="正文文本 字符"/>
    <w:basedOn w:val="a0"/>
    <w:link w:val="af5"/>
    <w:uiPriority w:val="99"/>
    <w:rsid w:val="00D5487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07CC5-02DB-441D-93EC-3880B177C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584</Words>
  <Characters>3334</Characters>
  <Application>Microsoft Office Word</Application>
  <DocSecurity>0</DocSecurity>
  <Lines>27</Lines>
  <Paragraphs>7</Paragraphs>
  <ScaleCrop>false</ScaleCrop>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2026-10-17T09:36:00Z</dcterms:created>
  <dcterms:modified xsi:type="dcterms:W3CDTF">2026-10-17T09:36:00Z</dcterms:modified>
</cp:coreProperties>
</file>