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F010C9" w:rsidR="0049405C" w:rsidRPr="00187BAA" w:rsidRDefault="00014575" w:rsidP="00014575">
            <w:pPr>
              <w:spacing w:line="720" w:lineRule="auto"/>
              <w:rPr>
                <w:rFonts w:ascii="宋体" w:eastAsia="宋体" w:hAnsi="宋体"/>
                <w:color w:val="545551"/>
              </w:rPr>
            </w:pPr>
            <w:bookmarkStart w:id="0" w:name="xingming"/>
            <w:bookmarkStart w:id="1" w:name="_GoBack"/>
            <w:bookmarkEnd w:id="1"/>
            <w:r w:rsidRPr="00014575">
              <w:rPr>
                <w:rFonts w:ascii="宋体" w:eastAsia="宋体" w:hAnsi="Times New Roman" w:hint="eastAsia"/>
                <w:b/>
                <w:color w:val="000000"/>
                <w:sz w:val="48"/>
              </w:rPr>
              <w:t>张俊炜</w:t>
            </w:r>
            <w:bookmarkEnd w:id="0"/>
          </w:p>
          <w:p w14:paraId="706EB16B" w14:textId="55C0D11A" w:rsidR="0049405C" w:rsidRPr="00187BAA" w:rsidRDefault="00014575" w:rsidP="00014575">
            <w:pPr>
              <w:spacing w:line="360" w:lineRule="auto"/>
              <w:rPr>
                <w:rFonts w:ascii="宋体" w:eastAsia="宋体" w:hAnsi="宋体"/>
                <w:b/>
                <w:bCs/>
                <w:color w:val="545551"/>
              </w:rPr>
            </w:pPr>
            <w:bookmarkStart w:id="2" w:name="didian"/>
            <w:r w:rsidRPr="00014575">
              <w:rPr>
                <w:rFonts w:ascii="宋体" w:eastAsia="宋体" w:hAnsi="Times New Roman" w:hint="eastAsia"/>
                <w:b/>
                <w:bCs/>
                <w:color w:val="000000"/>
              </w:rPr>
              <w:t>资深律师·香港</w:t>
            </w:r>
            <w:bookmarkEnd w:id="2"/>
          </w:p>
          <w:p w14:paraId="6199424A" w14:textId="6122A35E" w:rsidR="0049405C" w:rsidRPr="00187BAA" w:rsidRDefault="00014575" w:rsidP="00014575">
            <w:pPr>
              <w:spacing w:line="360" w:lineRule="auto"/>
              <w:rPr>
                <w:rFonts w:ascii="宋体" w:eastAsia="宋体" w:hAnsi="宋体"/>
                <w:color w:val="545551"/>
              </w:rPr>
            </w:pPr>
            <w:bookmarkStart w:id="3" w:name="dianhua"/>
            <w:r w:rsidRPr="00014575">
              <w:rPr>
                <w:rFonts w:ascii="宋体" w:eastAsia="宋体" w:hAnsi="Times New Roman"/>
                <w:color w:val="000000"/>
              </w:rPr>
              <w:t xml:space="preserve">+852 3976 8877 </w:t>
            </w:r>
            <w:bookmarkEnd w:id="3"/>
          </w:p>
          <w:p w14:paraId="4F910ACA" w14:textId="08E22D96" w:rsidR="0049405C" w:rsidRPr="00187BAA" w:rsidRDefault="00014575" w:rsidP="00014575">
            <w:pPr>
              <w:spacing w:line="360" w:lineRule="auto"/>
              <w:rPr>
                <w:rFonts w:ascii="宋体" w:eastAsia="宋体" w:hAnsi="宋体"/>
                <w:color w:val="000000"/>
              </w:rPr>
            </w:pPr>
            <w:bookmarkStart w:id="4" w:name="youxiang"/>
            <w:r w:rsidRPr="00014575">
              <w:rPr>
                <w:rFonts w:ascii="宋体" w:eastAsia="宋体" w:hAnsi="Times New Roman"/>
                <w:color w:val="000000"/>
              </w:rPr>
              <w:t>geoffrey.cheung@fangdalaw.com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1D03862" w:rsidR="0049405C" w:rsidRPr="00187BAA" w:rsidRDefault="0001457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0FF6B9" wp14:editId="2746082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FB7E33" w:rsidR="009465FB" w:rsidRPr="00187BAA" w:rsidRDefault="00014575" w:rsidP="007177F3">
            <w:pPr>
              <w:rPr>
                <w:rFonts w:ascii="宋体" w:eastAsia="宋体" w:hAnsi="宋体"/>
                <w:color w:val="000000"/>
                <w:szCs w:val="21"/>
              </w:rPr>
            </w:pPr>
            <w:bookmarkStart w:id="6" w:name="zhiyelingyu"/>
            <w:r w:rsidRPr="00014575">
              <w:rPr>
                <w:rFonts w:ascii="宋体" w:eastAsia="宋体" w:hAnsi="Times New Roman" w:hint="eastAsia"/>
                <w:color w:val="000000"/>
                <w:szCs w:val="21"/>
              </w:rPr>
              <w:t>张俊炜律师为方达律师事务所的香港公司业务资深律师，常驻香港办公室，主要执业领域涉及香港资本市场项目，包括香港首次公开招股、上市前可转换债券及股权投资、二次发行、私人并购项目以及香港公司公开收购。他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96D313" w14:textId="77777777" w:rsidR="0001457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C9F1CA" w14:textId="77777777" w:rsidR="00014575" w:rsidRDefault="00014575" w:rsidP="00014575">
      <w:pPr>
        <w:pStyle w:val="af5"/>
        <w:spacing w:after="0" w:line="480" w:lineRule="auto"/>
        <w:rPr>
          <w:rFonts w:ascii="宋体" w:eastAsia="宋体" w:hAnsi="宋体"/>
          <w:b/>
          <w:sz w:val="24"/>
        </w:rPr>
      </w:pPr>
      <w:r w:rsidRPr="00014575">
        <w:rPr>
          <w:rFonts w:ascii="宋体" w:eastAsia="宋体" w:hAnsi="宋体" w:hint="eastAsia"/>
          <w:b/>
          <w:sz w:val="24"/>
        </w:rPr>
        <w:t>近期代理的主要案件</w:t>
      </w:r>
    </w:p>
    <w:p w14:paraId="12AFFC98" w14:textId="77777777" w:rsidR="00014575" w:rsidRDefault="00014575" w:rsidP="00014575">
      <w:pPr>
        <w:pStyle w:val="af5"/>
        <w:spacing w:before="120"/>
        <w:rPr>
          <w:rFonts w:ascii="宋体" w:eastAsia="宋体" w:hAnsi="Times New Roman"/>
          <w:color w:val="000000"/>
        </w:rPr>
      </w:pPr>
    </w:p>
    <w:p w14:paraId="7605A4E2" w14:textId="77777777" w:rsidR="00014575" w:rsidRDefault="00014575" w:rsidP="00014575">
      <w:pPr>
        <w:pStyle w:val="af5"/>
        <w:numPr>
          <w:ilvl w:val="0"/>
          <w:numId w:val="4"/>
        </w:numPr>
        <w:spacing w:before="120"/>
        <w:ind w:left="690" w:hanging="240"/>
        <w:rPr>
          <w:rFonts w:ascii="宋体" w:eastAsia="宋体" w:hAnsi="Times New Roman"/>
          <w:color w:val="000000"/>
        </w:rPr>
      </w:pPr>
      <w:r w:rsidRPr="00014575">
        <w:rPr>
          <w:rFonts w:ascii="宋体" w:eastAsia="宋体" w:hAnsi="Times New Roman" w:hint="eastAsia"/>
          <w:color w:val="000000"/>
        </w:rPr>
        <w:t>上市项目：中信证券</w:t>
      </w:r>
      <w:r w:rsidRPr="00014575">
        <w:rPr>
          <w:rFonts w:ascii="宋体" w:eastAsia="宋体" w:hAnsi="Times New Roman"/>
          <w:color w:val="000000"/>
        </w:rPr>
        <w:t>(H股)、SBI Holding Inc. (香港预托证劵) (第一家香港上市的日本证券公司)、Top Standard Corporation（香港GEM版）等</w:t>
      </w:r>
    </w:p>
    <w:p w14:paraId="2A99A935" w14:textId="77777777" w:rsidR="00014575" w:rsidRDefault="00014575" w:rsidP="00014575">
      <w:pPr>
        <w:pStyle w:val="af5"/>
        <w:numPr>
          <w:ilvl w:val="0"/>
          <w:numId w:val="5"/>
        </w:numPr>
        <w:spacing w:before="120"/>
        <w:ind w:left="690" w:hanging="240"/>
        <w:rPr>
          <w:rFonts w:ascii="宋体" w:eastAsia="宋体" w:hAnsi="Times New Roman"/>
          <w:color w:val="000000"/>
        </w:rPr>
      </w:pPr>
      <w:r w:rsidRPr="00014575">
        <w:rPr>
          <w:rFonts w:ascii="宋体" w:eastAsia="宋体" w:hAnsi="Times New Roman" w:hint="eastAsia"/>
          <w:color w:val="000000"/>
        </w:rPr>
        <w:t>上市前投资项目：代表农银国际就认购两间拟于香港交易所主版上市的公司</w:t>
      </w:r>
      <w:r w:rsidRPr="00014575">
        <w:rPr>
          <w:rFonts w:ascii="宋体" w:eastAsia="宋体" w:hAnsi="Times New Roman"/>
          <w:color w:val="000000"/>
        </w:rPr>
        <w:t xml:space="preserve"> 的可交换及转换债券、代表投资基金或大型企业客户于汇富天下、小米、云南建投绿色高性能混凝土和长沙远大住宅工业集团的香港上市中作上市前投资、代表一所国际性音乐集团注资于一间中国在线音乐服务供货商等</w:t>
      </w:r>
    </w:p>
    <w:p w14:paraId="74578CCB" w14:textId="77777777" w:rsidR="00014575" w:rsidRDefault="00014575" w:rsidP="00014575">
      <w:pPr>
        <w:pStyle w:val="af5"/>
        <w:numPr>
          <w:ilvl w:val="0"/>
          <w:numId w:val="6"/>
        </w:numPr>
        <w:spacing w:before="120"/>
        <w:ind w:left="690" w:hanging="240"/>
        <w:rPr>
          <w:rFonts w:ascii="宋体" w:eastAsia="宋体" w:hAnsi="Times New Roman"/>
          <w:color w:val="000000"/>
        </w:rPr>
      </w:pPr>
      <w:r w:rsidRPr="00014575">
        <w:rPr>
          <w:rFonts w:ascii="宋体" w:eastAsia="宋体" w:hAnsi="Times New Roman" w:hint="eastAsia"/>
          <w:color w:val="000000"/>
        </w:rPr>
        <w:t>常年法律顾问项目：中国农业银行</w:t>
      </w:r>
      <w:r w:rsidRPr="00014575">
        <w:rPr>
          <w:rFonts w:ascii="宋体" w:eastAsia="宋体" w:hAnsi="Times New Roman"/>
          <w:color w:val="000000"/>
        </w:rPr>
        <w:t>(A+H股)、中国电信(H股)、上海石化(A+H股)、霸王国际、希玛眼科、嘉瑞国际、长城汇理、Top Standard Corporation等</w:t>
      </w:r>
    </w:p>
    <w:p w14:paraId="4CC776DE" w14:textId="77777777" w:rsidR="00014575" w:rsidRDefault="00014575" w:rsidP="00014575">
      <w:pPr>
        <w:pStyle w:val="af5"/>
        <w:numPr>
          <w:ilvl w:val="0"/>
          <w:numId w:val="7"/>
        </w:numPr>
        <w:spacing w:before="120"/>
        <w:ind w:left="690" w:hanging="240"/>
        <w:rPr>
          <w:rFonts w:ascii="宋体" w:eastAsia="宋体" w:hAnsi="Times New Roman"/>
          <w:color w:val="000000"/>
        </w:rPr>
      </w:pPr>
      <w:r w:rsidRPr="00014575">
        <w:rPr>
          <w:rFonts w:ascii="宋体" w:eastAsia="宋体" w:hAnsi="Times New Roman" w:hint="eastAsia"/>
          <w:color w:val="000000"/>
        </w:rPr>
        <w:t>股权及债劵发行项目：上海实业发行可转换债券、代表海通国际</w:t>
      </w:r>
      <w:r w:rsidRPr="00014575">
        <w:rPr>
          <w:rFonts w:ascii="宋体" w:eastAsia="宋体" w:hAnsi="Times New Roman"/>
          <w:color w:val="000000"/>
        </w:rPr>
        <w:t>(承销商)为中渝置地控股进行供股项目、代表长城汇理进行供股项目等</w:t>
      </w:r>
    </w:p>
    <w:p w14:paraId="7CCF5E88" w14:textId="77777777" w:rsidR="00014575" w:rsidRDefault="00014575" w:rsidP="00014575">
      <w:pPr>
        <w:pStyle w:val="af5"/>
        <w:numPr>
          <w:ilvl w:val="0"/>
          <w:numId w:val="8"/>
        </w:numPr>
        <w:spacing w:before="120"/>
        <w:ind w:left="690" w:hanging="240"/>
        <w:rPr>
          <w:rFonts w:ascii="宋体" w:eastAsia="宋体" w:hAnsi="Times New Roman"/>
          <w:color w:val="000000"/>
        </w:rPr>
      </w:pPr>
      <w:r w:rsidRPr="00014575">
        <w:rPr>
          <w:rFonts w:ascii="宋体" w:eastAsia="宋体" w:hAnsi="Times New Roman" w:hint="eastAsia"/>
          <w:color w:val="000000"/>
        </w:rPr>
        <w:t>私人及公开并购项目：中国电信向中国电信集团公司收购</w:t>
      </w:r>
      <w:r w:rsidRPr="00014575">
        <w:rPr>
          <w:rFonts w:ascii="宋体" w:eastAsia="宋体" w:hAnsi="Times New Roman"/>
          <w:color w:val="000000"/>
        </w:rPr>
        <w:t xml:space="preserve"> CDMA 网络资产及相关负债、代表一所香港地产发展商出售位于上海的一所酒店(包括资产及业权)、出售一所台湾个人护理用品生产商予一国际个人卫生用品集团、代表长城汇理基金全面收购冠辉集团项目中代表冠辉集团并后续合规工作、出售中国的私募基金向控股股东收购西藏水资源控股部分股权、协助霸王国际的控股股东就有关遵守《香港公司收购守则》向香港证监会申请全面要约豁免等。   *包括加入方达前完成的项目</w:t>
      </w:r>
    </w:p>
    <w:p w14:paraId="2B07E611" w14:textId="77777777" w:rsidR="00014575" w:rsidRDefault="00014575" w:rsidP="00014575">
      <w:pPr>
        <w:pStyle w:val="af5"/>
        <w:spacing w:after="0" w:line="480" w:lineRule="auto"/>
        <w:rPr>
          <w:rFonts w:ascii="宋体" w:eastAsia="宋体" w:hAnsi="宋体"/>
          <w:b/>
          <w:sz w:val="24"/>
        </w:rPr>
      </w:pPr>
      <w:r w:rsidRPr="00014575">
        <w:rPr>
          <w:rFonts w:ascii="宋体" w:eastAsia="宋体" w:hAnsi="宋体" w:hint="eastAsia"/>
          <w:b/>
          <w:sz w:val="24"/>
        </w:rPr>
        <w:t>教育背景</w:t>
      </w:r>
    </w:p>
    <w:p w14:paraId="4BD84235" w14:textId="77777777" w:rsidR="00014575" w:rsidRDefault="00014575" w:rsidP="00014575">
      <w:pPr>
        <w:pStyle w:val="af5"/>
        <w:numPr>
          <w:ilvl w:val="0"/>
          <w:numId w:val="9"/>
        </w:numPr>
        <w:spacing w:before="120"/>
        <w:ind w:left="690" w:hanging="240"/>
        <w:rPr>
          <w:rFonts w:ascii="宋体" w:eastAsia="宋体" w:hAnsi="Times New Roman"/>
          <w:color w:val="000000"/>
        </w:rPr>
      </w:pPr>
      <w:r w:rsidRPr="00014575">
        <w:rPr>
          <w:rFonts w:ascii="宋体" w:eastAsia="宋体" w:hAnsi="Times New Roman" w:hint="eastAsia"/>
          <w:color w:val="000000"/>
        </w:rPr>
        <w:t>多伦多大学，应用科学学士学位</w:t>
      </w:r>
    </w:p>
    <w:p w14:paraId="6662BB51" w14:textId="77777777" w:rsidR="00014575" w:rsidRDefault="00014575" w:rsidP="00014575">
      <w:pPr>
        <w:pStyle w:val="af5"/>
        <w:numPr>
          <w:ilvl w:val="0"/>
          <w:numId w:val="10"/>
        </w:numPr>
        <w:spacing w:before="120"/>
        <w:ind w:left="690" w:hanging="240"/>
        <w:rPr>
          <w:rFonts w:ascii="宋体" w:eastAsia="宋体" w:hAnsi="Times New Roman"/>
          <w:color w:val="000000"/>
        </w:rPr>
      </w:pPr>
      <w:r w:rsidRPr="00014575">
        <w:rPr>
          <w:rFonts w:ascii="宋体" w:eastAsia="宋体" w:hAnsi="Times New Roman" w:hint="eastAsia"/>
          <w:color w:val="000000"/>
        </w:rPr>
        <w:t>香港中文大学，理学荣誉硕士学位</w:t>
      </w:r>
    </w:p>
    <w:p w14:paraId="522969E4" w14:textId="77777777" w:rsidR="00014575" w:rsidRDefault="00014575" w:rsidP="00014575">
      <w:pPr>
        <w:pStyle w:val="af5"/>
        <w:numPr>
          <w:ilvl w:val="0"/>
          <w:numId w:val="11"/>
        </w:numPr>
        <w:spacing w:before="120"/>
        <w:ind w:left="690" w:hanging="240"/>
        <w:rPr>
          <w:rFonts w:ascii="宋体" w:eastAsia="宋体" w:hAnsi="Times New Roman"/>
          <w:color w:val="000000"/>
        </w:rPr>
      </w:pPr>
      <w:r w:rsidRPr="00014575">
        <w:rPr>
          <w:rFonts w:ascii="宋体" w:eastAsia="宋体" w:hAnsi="Times New Roman" w:hint="eastAsia"/>
          <w:color w:val="000000"/>
        </w:rPr>
        <w:t>香港大学，英国以及香港法律课程，香港法律专业文凭</w:t>
      </w:r>
    </w:p>
    <w:p w14:paraId="191D3D53" w14:textId="77777777" w:rsidR="00014575" w:rsidRDefault="00014575" w:rsidP="00014575">
      <w:pPr>
        <w:pStyle w:val="af5"/>
        <w:spacing w:after="0" w:line="480" w:lineRule="auto"/>
        <w:rPr>
          <w:rFonts w:ascii="宋体" w:eastAsia="宋体" w:hAnsi="宋体"/>
          <w:b/>
          <w:sz w:val="24"/>
        </w:rPr>
      </w:pPr>
      <w:r w:rsidRPr="00014575">
        <w:rPr>
          <w:rFonts w:ascii="宋体" w:eastAsia="宋体" w:hAnsi="宋体" w:hint="eastAsia"/>
          <w:b/>
          <w:sz w:val="24"/>
        </w:rPr>
        <w:t>执业资格</w:t>
      </w:r>
    </w:p>
    <w:p w14:paraId="705E3818" w14:textId="77777777" w:rsidR="00014575" w:rsidRDefault="00014575" w:rsidP="00014575">
      <w:pPr>
        <w:pStyle w:val="af5"/>
        <w:numPr>
          <w:ilvl w:val="0"/>
          <w:numId w:val="12"/>
        </w:numPr>
        <w:spacing w:before="120"/>
        <w:ind w:left="690" w:hanging="240"/>
        <w:rPr>
          <w:rFonts w:ascii="宋体" w:eastAsia="宋体" w:hAnsi="Times New Roman"/>
          <w:color w:val="000000"/>
        </w:rPr>
      </w:pPr>
      <w:r w:rsidRPr="00014575">
        <w:rPr>
          <w:rFonts w:ascii="宋体" w:eastAsia="宋体" w:hAnsi="Times New Roman" w:hint="eastAsia"/>
          <w:color w:val="000000"/>
        </w:rPr>
        <w:t>香港特别行政区执业律师资格</w:t>
      </w:r>
    </w:p>
    <w:p w14:paraId="1BCC6791" w14:textId="77777777" w:rsidR="00014575" w:rsidRDefault="00014575" w:rsidP="00014575">
      <w:pPr>
        <w:pStyle w:val="af5"/>
        <w:numPr>
          <w:ilvl w:val="0"/>
          <w:numId w:val="13"/>
        </w:numPr>
        <w:spacing w:before="120"/>
        <w:ind w:left="690" w:hanging="240"/>
        <w:rPr>
          <w:rFonts w:ascii="宋体" w:eastAsia="宋体" w:hAnsi="Times New Roman"/>
          <w:color w:val="000000"/>
        </w:rPr>
      </w:pPr>
      <w:r w:rsidRPr="00014575">
        <w:rPr>
          <w:rFonts w:ascii="宋体" w:eastAsia="宋体" w:hAnsi="Times New Roman" w:hint="eastAsia"/>
          <w:color w:val="000000"/>
        </w:rPr>
        <w:t>英国特许工程师</w:t>
      </w:r>
    </w:p>
    <w:p w14:paraId="3A2662DC" w14:textId="77777777" w:rsidR="00014575" w:rsidRDefault="00014575" w:rsidP="00014575">
      <w:pPr>
        <w:pStyle w:val="af5"/>
        <w:numPr>
          <w:ilvl w:val="0"/>
          <w:numId w:val="14"/>
        </w:numPr>
        <w:spacing w:before="120"/>
        <w:ind w:left="690" w:hanging="240"/>
        <w:rPr>
          <w:rFonts w:ascii="宋体" w:eastAsia="宋体" w:hAnsi="Times New Roman"/>
          <w:color w:val="000000"/>
        </w:rPr>
      </w:pPr>
      <w:r w:rsidRPr="00014575">
        <w:rPr>
          <w:rFonts w:ascii="宋体" w:eastAsia="宋体" w:hAnsi="Times New Roman" w:hint="eastAsia"/>
          <w:color w:val="000000"/>
        </w:rPr>
        <w:t>项目管理专业人士资格认证</w:t>
      </w:r>
    </w:p>
    <w:p w14:paraId="3D32CD6B" w14:textId="77777777" w:rsidR="00014575" w:rsidRDefault="00014575" w:rsidP="00014575">
      <w:pPr>
        <w:pStyle w:val="af5"/>
        <w:spacing w:after="0" w:line="480" w:lineRule="auto"/>
        <w:rPr>
          <w:rFonts w:ascii="宋体" w:eastAsia="宋体" w:hAnsi="宋体"/>
          <w:b/>
          <w:sz w:val="24"/>
        </w:rPr>
      </w:pPr>
      <w:r w:rsidRPr="00014575">
        <w:rPr>
          <w:rFonts w:ascii="宋体" w:eastAsia="宋体" w:hAnsi="宋体" w:hint="eastAsia"/>
          <w:b/>
          <w:sz w:val="24"/>
        </w:rPr>
        <w:t>职业背景</w:t>
      </w:r>
    </w:p>
    <w:p w14:paraId="4F0A196B" w14:textId="3D6B9DF0" w:rsidR="00A46A04" w:rsidRPr="00014575" w:rsidRDefault="00014575" w:rsidP="00014575">
      <w:pPr>
        <w:pStyle w:val="af5"/>
        <w:numPr>
          <w:ilvl w:val="0"/>
          <w:numId w:val="15"/>
        </w:numPr>
        <w:spacing w:before="120"/>
        <w:ind w:left="690" w:hanging="240"/>
        <w:rPr>
          <w:rFonts w:ascii="宋体" w:eastAsia="宋体" w:hAnsi="Times New Roman"/>
          <w:color w:val="000000"/>
        </w:rPr>
      </w:pPr>
      <w:r w:rsidRPr="00014575">
        <w:rPr>
          <w:rFonts w:ascii="宋体" w:eastAsia="宋体" w:hAnsi="Times New Roman" w:hint="eastAsia"/>
          <w:color w:val="000000"/>
        </w:rPr>
        <w:t>在加入方达律师事务所之前，张律师曾在霍金路伟律师行及富而德律师事务所</w:t>
      </w:r>
      <w:r w:rsidRPr="00014575">
        <w:rPr>
          <w:rFonts w:ascii="宋体" w:eastAsia="宋体" w:hAnsi="Times New Roman"/>
          <w:color w:val="000000"/>
        </w:rPr>
        <w:t xml:space="preserve"> 两家国际知名律师事务所的香港办公室工作。</w:t>
      </w:r>
    </w:p>
    <w:sectPr w:rsidR="00A46A04" w:rsidRPr="000145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D0EA2"/>
    <w:multiLevelType w:val="singleLevel"/>
    <w:tmpl w:val="A552E8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DA4818"/>
    <w:multiLevelType w:val="singleLevel"/>
    <w:tmpl w:val="CC2428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850DD1"/>
    <w:multiLevelType w:val="singleLevel"/>
    <w:tmpl w:val="83EA29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391025"/>
    <w:multiLevelType w:val="singleLevel"/>
    <w:tmpl w:val="EF0A10C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2F5E44"/>
    <w:multiLevelType w:val="singleLevel"/>
    <w:tmpl w:val="FBB4B4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5B32135"/>
    <w:multiLevelType w:val="singleLevel"/>
    <w:tmpl w:val="ECECD1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DFD1D50"/>
    <w:multiLevelType w:val="singleLevel"/>
    <w:tmpl w:val="C92C16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7B04689"/>
    <w:multiLevelType w:val="singleLevel"/>
    <w:tmpl w:val="C92C16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9706AC2"/>
    <w:multiLevelType w:val="singleLevel"/>
    <w:tmpl w:val="04B26D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51E0650"/>
    <w:multiLevelType w:val="singleLevel"/>
    <w:tmpl w:val="50D2EB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BB103C"/>
    <w:multiLevelType w:val="singleLevel"/>
    <w:tmpl w:val="4D6467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314F7E"/>
    <w:multiLevelType w:val="singleLevel"/>
    <w:tmpl w:val="DB60AA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FCA46DC"/>
    <w:multiLevelType w:val="singleLevel"/>
    <w:tmpl w:val="FDBEEC0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0"/>
  </w:num>
  <w:num w:numId="4">
    <w:abstractNumId w:val="11"/>
  </w:num>
  <w:num w:numId="5">
    <w:abstractNumId w:val="14"/>
  </w:num>
  <w:num w:numId="6">
    <w:abstractNumId w:val="2"/>
  </w:num>
  <w:num w:numId="7">
    <w:abstractNumId w:val="1"/>
  </w:num>
  <w:num w:numId="8">
    <w:abstractNumId w:val="13"/>
  </w:num>
  <w:num w:numId="9">
    <w:abstractNumId w:val="4"/>
  </w:num>
  <w:num w:numId="10">
    <w:abstractNumId w:val="7"/>
  </w:num>
  <w:num w:numId="11">
    <w:abstractNumId w:val="10"/>
  </w:num>
  <w:num w:numId="12">
    <w:abstractNumId w:val="3"/>
  </w:num>
  <w:num w:numId="13">
    <w:abstractNumId w:val="1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4575"/>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4575"/>
    <w:pPr>
      <w:spacing w:after="120"/>
    </w:pPr>
  </w:style>
  <w:style w:type="character" w:customStyle="1" w:styleId="af6">
    <w:name w:val="正文文本 字符"/>
    <w:basedOn w:val="a0"/>
    <w:link w:val="af5"/>
    <w:uiPriority w:val="99"/>
    <w:rsid w:val="000145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4FFFB-B66B-45FF-A53F-46887E18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2026-10-21T02:00:00Z</dcterms:created>
  <dcterms:modified xsi:type="dcterms:W3CDTF">2026-10-21T02:00:00Z</dcterms:modified>
</cp:coreProperties>
</file>