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04CAE6F" w:rsidR="0049405C" w:rsidRPr="00187BAA" w:rsidRDefault="00A93F1C" w:rsidP="00A93F1C">
            <w:pPr>
              <w:spacing w:line="720" w:lineRule="auto"/>
              <w:rPr>
                <w:rFonts w:ascii="宋体" w:eastAsia="宋体" w:hAnsi="宋体"/>
                <w:color w:val="545551"/>
              </w:rPr>
            </w:pPr>
            <w:bookmarkStart w:id="0" w:name="xingming"/>
            <w:bookmarkStart w:id="1" w:name="_GoBack"/>
            <w:bookmarkEnd w:id="1"/>
            <w:r w:rsidRPr="00A93F1C">
              <w:rPr>
                <w:rFonts w:ascii="宋体" w:eastAsia="宋体" w:hAnsi="Times New Roman" w:hint="eastAsia"/>
                <w:b/>
                <w:color w:val="000000"/>
                <w:sz w:val="48"/>
              </w:rPr>
              <w:t>黄震</w:t>
            </w:r>
            <w:bookmarkEnd w:id="0"/>
          </w:p>
          <w:p w14:paraId="706EB16B" w14:textId="78CCCF15" w:rsidR="0049405C" w:rsidRPr="00187BAA" w:rsidRDefault="00A93F1C" w:rsidP="00A93F1C">
            <w:pPr>
              <w:spacing w:line="360" w:lineRule="auto"/>
              <w:rPr>
                <w:rFonts w:ascii="宋体" w:eastAsia="宋体" w:hAnsi="宋体"/>
                <w:b/>
                <w:bCs/>
                <w:color w:val="545551"/>
              </w:rPr>
            </w:pPr>
            <w:bookmarkStart w:id="2" w:name="didian"/>
            <w:r w:rsidRPr="00A93F1C">
              <w:rPr>
                <w:rFonts w:ascii="宋体" w:eastAsia="宋体" w:hAnsi="Times New Roman" w:hint="eastAsia"/>
                <w:b/>
                <w:bCs/>
                <w:color w:val="000000"/>
              </w:rPr>
              <w:t>高级顾问·香港</w:t>
            </w:r>
            <w:bookmarkEnd w:id="2"/>
          </w:p>
          <w:p w14:paraId="6199424A" w14:textId="64316365" w:rsidR="0049405C" w:rsidRPr="00187BAA" w:rsidRDefault="00A93F1C" w:rsidP="00A93F1C">
            <w:pPr>
              <w:spacing w:line="360" w:lineRule="auto"/>
              <w:rPr>
                <w:rFonts w:ascii="宋体" w:eastAsia="宋体" w:hAnsi="宋体"/>
                <w:color w:val="545551"/>
              </w:rPr>
            </w:pPr>
            <w:bookmarkStart w:id="3" w:name="dianhua"/>
            <w:r w:rsidRPr="00A93F1C">
              <w:rPr>
                <w:rFonts w:ascii="宋体" w:eastAsia="宋体" w:hAnsi="Times New Roman"/>
                <w:color w:val="000000"/>
              </w:rPr>
              <w:t xml:space="preserve">+852 3749 1154 </w:t>
            </w:r>
            <w:bookmarkEnd w:id="3"/>
          </w:p>
          <w:p w14:paraId="4F910ACA" w14:textId="55BF02D1" w:rsidR="0049405C" w:rsidRPr="00187BAA" w:rsidRDefault="00A93F1C" w:rsidP="00A93F1C">
            <w:pPr>
              <w:spacing w:line="360" w:lineRule="auto"/>
              <w:rPr>
                <w:rFonts w:ascii="宋体" w:eastAsia="宋体" w:hAnsi="宋体"/>
                <w:color w:val="000000"/>
              </w:rPr>
            </w:pPr>
            <w:bookmarkStart w:id="4" w:name="youxiang"/>
            <w:r w:rsidRPr="00A93F1C">
              <w:rPr>
                <w:rFonts w:ascii="宋体" w:eastAsia="宋体" w:hAnsi="Times New Roman"/>
                <w:color w:val="000000"/>
              </w:rPr>
              <w:t>edward.bong@fangdalaw.com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2607801" w:rsidR="0049405C" w:rsidRPr="00187BAA" w:rsidRDefault="00A93F1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9E89AE7" wp14:editId="21232B0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D218C59" w:rsidR="009465FB" w:rsidRPr="00187BAA" w:rsidRDefault="00A93F1C" w:rsidP="007177F3">
            <w:pPr>
              <w:rPr>
                <w:rFonts w:ascii="宋体" w:eastAsia="宋体" w:hAnsi="宋体"/>
                <w:color w:val="000000"/>
                <w:szCs w:val="21"/>
              </w:rPr>
            </w:pPr>
            <w:bookmarkStart w:id="6" w:name="zhiyelingyu"/>
            <w:r w:rsidRPr="00A93F1C">
              <w:rPr>
                <w:rFonts w:ascii="宋体" w:eastAsia="宋体" w:hAnsi="Times New Roman" w:hint="eastAsia"/>
                <w:color w:val="000000"/>
                <w:szCs w:val="21"/>
              </w:rPr>
              <w:t>黄震律师的执业领域包括资本市场、并购、公司法和证券法律法规。他代表范围广泛的公司和机构客户，并为许多复杂和跨司法管辖区的交易提供专业服务。黄律师曾在马来西亚职业多年，累积了若干外商投资，重大并购及公司法，证券法的深厚经验。</w:t>
            </w:r>
            <w:r w:rsidRPr="00A93F1C">
              <w:rPr>
                <w:rFonts w:ascii="宋体" w:eastAsia="宋体" w:hAnsi="Times New Roman"/>
                <w:color w:val="000000"/>
                <w:szCs w:val="21"/>
              </w:rPr>
              <w:t xml:space="preserve"> </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96F81A2" w14:textId="77777777" w:rsidR="00A93F1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3FE641A" w14:textId="77777777" w:rsidR="00A93F1C" w:rsidRDefault="00A93F1C" w:rsidP="00A93F1C">
      <w:pPr>
        <w:pStyle w:val="af5"/>
        <w:spacing w:after="0" w:line="480" w:lineRule="auto"/>
        <w:rPr>
          <w:rFonts w:ascii="宋体" w:eastAsia="宋体" w:hAnsi="宋体"/>
          <w:b/>
          <w:sz w:val="24"/>
        </w:rPr>
      </w:pPr>
      <w:r w:rsidRPr="00A93F1C">
        <w:rPr>
          <w:rFonts w:ascii="宋体" w:eastAsia="宋体" w:hAnsi="宋体" w:hint="eastAsia"/>
          <w:b/>
          <w:sz w:val="24"/>
        </w:rPr>
        <w:t>近期代理的主要案件</w:t>
      </w:r>
    </w:p>
    <w:p w14:paraId="199F80AF" w14:textId="77777777" w:rsidR="00A93F1C" w:rsidRDefault="00A93F1C" w:rsidP="00A93F1C">
      <w:pPr>
        <w:pStyle w:val="af5"/>
        <w:spacing w:before="120"/>
        <w:rPr>
          <w:rFonts w:ascii="宋体" w:eastAsia="宋体" w:hAnsi="Times New Roman"/>
          <w:color w:val="000000"/>
        </w:rPr>
      </w:pPr>
      <w:r w:rsidRPr="00A93F1C">
        <w:rPr>
          <w:rFonts w:ascii="宋体" w:eastAsia="宋体" w:hAnsi="Times New Roman" w:hint="eastAsia"/>
          <w:color w:val="000000"/>
        </w:rPr>
        <w:t>东南亚代表性项目</w:t>
      </w:r>
    </w:p>
    <w:p w14:paraId="3AF51F69" w14:textId="77777777" w:rsidR="00A93F1C" w:rsidRDefault="00A93F1C" w:rsidP="00A93F1C">
      <w:pPr>
        <w:pStyle w:val="af5"/>
        <w:numPr>
          <w:ilvl w:val="0"/>
          <w:numId w:val="1"/>
        </w:numPr>
        <w:spacing w:before="120"/>
        <w:ind w:left="690" w:hanging="240"/>
        <w:rPr>
          <w:rFonts w:ascii="宋体" w:eastAsia="宋体" w:hAnsi="Times New Roman"/>
          <w:color w:val="000000"/>
        </w:rPr>
      </w:pPr>
      <w:r w:rsidRPr="00A93F1C">
        <w:rPr>
          <w:rFonts w:ascii="宋体" w:eastAsia="宋体" w:hAnsi="Times New Roman" w:hint="eastAsia"/>
          <w:color w:val="000000"/>
        </w:rPr>
        <w:t>阿里巴巴被投项目公司新加披狮腾控股公司（</w:t>
      </w:r>
      <w:r w:rsidRPr="00A93F1C">
        <w:rPr>
          <w:rFonts w:ascii="宋体" w:eastAsia="宋体" w:hAnsi="Times New Roman"/>
          <w:color w:val="000000"/>
        </w:rPr>
        <w:t>Synagistics Limited)（2562.HK）完成香港第一家成功以de-SPAC吸收并购上市案例。上市方式涉及与香港汇德收购公司（Hong Kong Acquisition Corporation）并购，获取5.5亿港元的私募投资，吸收并购后上市主体市值为35亿港元，为香港联合交易所在SPAC领域的焦点项目</w:t>
      </w:r>
    </w:p>
    <w:p w14:paraId="1062B322" w14:textId="77777777" w:rsidR="00A93F1C" w:rsidRDefault="00A93F1C" w:rsidP="00A93F1C">
      <w:pPr>
        <w:pStyle w:val="af5"/>
        <w:numPr>
          <w:ilvl w:val="0"/>
          <w:numId w:val="2"/>
        </w:numPr>
        <w:spacing w:before="120"/>
        <w:ind w:left="690" w:hanging="240"/>
        <w:rPr>
          <w:rFonts w:ascii="宋体" w:eastAsia="宋体" w:hAnsi="Times New Roman"/>
          <w:color w:val="000000"/>
        </w:rPr>
      </w:pPr>
      <w:r w:rsidRPr="00A93F1C">
        <w:rPr>
          <w:rFonts w:ascii="宋体" w:eastAsia="宋体" w:hAnsi="Times New Roman" w:hint="eastAsia"/>
          <w:color w:val="000000"/>
        </w:rPr>
        <w:t>代表新加坡</w:t>
      </w:r>
      <w:r w:rsidRPr="00A93F1C">
        <w:rPr>
          <w:rFonts w:ascii="宋体" w:eastAsia="宋体" w:hAnsi="Times New Roman"/>
          <w:color w:val="000000"/>
        </w:rPr>
        <w:t>ASMPT公司（0522.HK），一家香港主板上市的综合硬件及软件半导体及电子生产服务企业，以 拟17亿人民币的现金及股份对价售出子公司AMMI权益给予深圳至正高分子材料股份有限公司（603991.SH）,一家上海交易所上市企业。交易完成后ASMPT将获取部分的上海流通A-股，有助于之后退出境内投资，成为突破性的外商退资的创新方案</w:t>
      </w:r>
    </w:p>
    <w:p w14:paraId="4198BC11" w14:textId="77777777" w:rsidR="00A93F1C" w:rsidRDefault="00A93F1C" w:rsidP="00A93F1C">
      <w:pPr>
        <w:pStyle w:val="af5"/>
        <w:numPr>
          <w:ilvl w:val="0"/>
          <w:numId w:val="3"/>
        </w:numPr>
        <w:spacing w:before="120"/>
        <w:ind w:left="690" w:hanging="240"/>
        <w:rPr>
          <w:rFonts w:ascii="宋体" w:eastAsia="宋体" w:hAnsi="Times New Roman"/>
          <w:color w:val="000000"/>
        </w:rPr>
      </w:pPr>
      <w:r w:rsidRPr="00A93F1C">
        <w:rPr>
          <w:rFonts w:ascii="宋体" w:eastAsia="宋体" w:hAnsi="Times New Roman" w:hint="eastAsia"/>
          <w:color w:val="000000"/>
        </w:rPr>
        <w:t>代表</w:t>
      </w:r>
      <w:r w:rsidRPr="00A93F1C">
        <w:rPr>
          <w:rFonts w:ascii="宋体" w:eastAsia="宋体" w:hAnsi="Times New Roman"/>
          <w:color w:val="000000"/>
        </w:rPr>
        <w:t>Carro, 一家新加坡及马来西亚互联网AI二手车销售平台的独角兽企业，完成第一次的海外收购。协助扩展业务到香港及北亚市场</w:t>
      </w:r>
    </w:p>
    <w:p w14:paraId="358600F3" w14:textId="77777777" w:rsidR="00A93F1C" w:rsidRDefault="00A93F1C" w:rsidP="00A93F1C">
      <w:pPr>
        <w:pStyle w:val="af5"/>
        <w:numPr>
          <w:ilvl w:val="0"/>
          <w:numId w:val="4"/>
        </w:numPr>
        <w:spacing w:before="120"/>
        <w:ind w:left="690" w:hanging="240"/>
        <w:rPr>
          <w:rFonts w:ascii="宋体" w:eastAsia="宋体" w:hAnsi="Times New Roman"/>
          <w:color w:val="000000"/>
        </w:rPr>
      </w:pPr>
      <w:r w:rsidRPr="00A93F1C">
        <w:rPr>
          <w:rFonts w:ascii="宋体" w:eastAsia="宋体" w:hAnsi="Times New Roman" w:hint="eastAsia"/>
          <w:color w:val="000000"/>
        </w:rPr>
        <w:t>代表新加坡麦达斯控股有限公司</w:t>
      </w:r>
      <w:r w:rsidRPr="00A93F1C">
        <w:rPr>
          <w:rFonts w:ascii="宋体" w:eastAsia="宋体" w:hAnsi="Times New Roman"/>
          <w:color w:val="000000"/>
        </w:rPr>
        <w:t>Midas Holding Limited（1021.HK)，一家领先的铝合金挤压制品生产商完成13.4亿港元的香港主板上市项目</w:t>
      </w:r>
    </w:p>
    <w:p w14:paraId="434E5477" w14:textId="77777777" w:rsidR="00A93F1C" w:rsidRDefault="00A93F1C" w:rsidP="00A93F1C">
      <w:pPr>
        <w:pStyle w:val="af5"/>
        <w:numPr>
          <w:ilvl w:val="0"/>
          <w:numId w:val="5"/>
        </w:numPr>
        <w:spacing w:before="120"/>
        <w:ind w:left="690" w:hanging="240"/>
        <w:rPr>
          <w:rFonts w:ascii="宋体" w:eastAsia="宋体" w:hAnsi="Times New Roman"/>
          <w:color w:val="000000"/>
        </w:rPr>
      </w:pPr>
      <w:r w:rsidRPr="00A93F1C">
        <w:rPr>
          <w:rFonts w:ascii="宋体" w:eastAsia="宋体" w:hAnsi="Times New Roman" w:hint="eastAsia"/>
          <w:color w:val="000000"/>
        </w:rPr>
        <w:t>代表独立股东并参与印尼（赛得利控股有限公司）</w:t>
      </w:r>
      <w:r w:rsidRPr="00A93F1C">
        <w:rPr>
          <w:rFonts w:ascii="宋体" w:eastAsia="宋体" w:hAnsi="Times New Roman"/>
          <w:color w:val="000000"/>
        </w:rPr>
        <w:t>Sateri Holdings Limited（1768.HK）, 一家特种纤维素生产企业的46亿香港主板上市项目</w:t>
      </w:r>
    </w:p>
    <w:p w14:paraId="3657BFA0" w14:textId="77777777" w:rsidR="00A93F1C" w:rsidRDefault="00A93F1C" w:rsidP="00A93F1C">
      <w:pPr>
        <w:pStyle w:val="af5"/>
        <w:numPr>
          <w:ilvl w:val="0"/>
          <w:numId w:val="6"/>
        </w:numPr>
        <w:spacing w:before="120"/>
        <w:ind w:left="690" w:hanging="240"/>
        <w:rPr>
          <w:rFonts w:ascii="宋体" w:eastAsia="宋体" w:hAnsi="Times New Roman"/>
          <w:color w:val="000000"/>
        </w:rPr>
      </w:pPr>
      <w:r w:rsidRPr="00A93F1C">
        <w:rPr>
          <w:rFonts w:ascii="宋体" w:eastAsia="宋体" w:hAnsi="Times New Roman" w:hint="eastAsia"/>
          <w:color w:val="000000"/>
        </w:rPr>
        <w:t>代表日本</w:t>
      </w:r>
      <w:r w:rsidRPr="00A93F1C">
        <w:rPr>
          <w:rFonts w:ascii="宋体" w:eastAsia="宋体" w:hAnsi="Times New Roman"/>
          <w:color w:val="000000"/>
        </w:rPr>
        <w:t>Daikin大金冷气以两步骤收购马来西亚OYL公司。首先从大股东丰隆集团收购OYL40%的股权，之后再以强制要约方式向公众股东收购其余股份，成功以76亿马币的交易价完成收购及退市，成为当年马来西亚焦点退市项目</w:t>
      </w:r>
    </w:p>
    <w:p w14:paraId="4FB36949" w14:textId="77777777" w:rsidR="00A93F1C" w:rsidRDefault="00A93F1C" w:rsidP="00A93F1C">
      <w:pPr>
        <w:pStyle w:val="af5"/>
        <w:numPr>
          <w:ilvl w:val="0"/>
          <w:numId w:val="7"/>
        </w:numPr>
        <w:spacing w:before="120"/>
        <w:ind w:left="690" w:hanging="240"/>
        <w:rPr>
          <w:rFonts w:ascii="宋体" w:eastAsia="宋体" w:hAnsi="Times New Roman"/>
          <w:color w:val="000000"/>
        </w:rPr>
      </w:pPr>
      <w:r w:rsidRPr="00A93F1C">
        <w:rPr>
          <w:rFonts w:ascii="宋体" w:eastAsia="宋体" w:hAnsi="Times New Roman" w:hint="eastAsia"/>
          <w:color w:val="000000"/>
        </w:rPr>
        <w:t>代表马来西亚</w:t>
      </w:r>
      <w:r w:rsidRPr="00A93F1C">
        <w:rPr>
          <w:rFonts w:ascii="宋体" w:eastAsia="宋体" w:hAnsi="Times New Roman"/>
          <w:color w:val="000000"/>
        </w:rPr>
        <w:t>Berjaya Group Berhad (成功集团）完成超过50亿马币重大集团及债务重组，包括分发无息可转债，公估计划，及控股股东引入新资产，以新上市主体Berjaya Corporation Berhad 延续为成功集团的控股上市平台</w:t>
      </w:r>
    </w:p>
    <w:p w14:paraId="7AF20841" w14:textId="77777777" w:rsidR="00A93F1C" w:rsidRDefault="00A93F1C" w:rsidP="00A93F1C">
      <w:pPr>
        <w:pStyle w:val="af5"/>
        <w:numPr>
          <w:ilvl w:val="0"/>
          <w:numId w:val="8"/>
        </w:numPr>
        <w:spacing w:before="120"/>
        <w:ind w:left="690" w:hanging="240"/>
        <w:rPr>
          <w:rFonts w:ascii="宋体" w:eastAsia="宋体" w:hAnsi="Times New Roman"/>
          <w:color w:val="000000"/>
        </w:rPr>
      </w:pPr>
      <w:r w:rsidRPr="00A93F1C">
        <w:rPr>
          <w:rFonts w:ascii="宋体" w:eastAsia="宋体" w:hAnsi="Times New Roman" w:hint="eastAsia"/>
          <w:color w:val="000000"/>
        </w:rPr>
        <w:t>代表马来西亚金狮集团（</w:t>
      </w:r>
      <w:r w:rsidRPr="00A93F1C">
        <w:rPr>
          <w:rFonts w:ascii="宋体" w:eastAsia="宋体" w:hAnsi="Times New Roman"/>
          <w:color w:val="000000"/>
        </w:rPr>
        <w:t>Lion Group)完成59亿马币的现金，新股及债券的数百亿的集团及债务重组</w:t>
      </w:r>
    </w:p>
    <w:p w14:paraId="61E9891B" w14:textId="77777777" w:rsidR="00A93F1C" w:rsidRDefault="00A93F1C" w:rsidP="00A93F1C">
      <w:pPr>
        <w:pStyle w:val="af5"/>
        <w:numPr>
          <w:ilvl w:val="0"/>
          <w:numId w:val="9"/>
        </w:numPr>
        <w:spacing w:before="120"/>
        <w:ind w:left="690" w:hanging="240"/>
        <w:rPr>
          <w:rFonts w:ascii="宋体" w:eastAsia="宋体" w:hAnsi="Times New Roman"/>
          <w:color w:val="000000"/>
        </w:rPr>
      </w:pPr>
      <w:r w:rsidRPr="00A93F1C">
        <w:rPr>
          <w:rFonts w:ascii="宋体" w:eastAsia="宋体" w:hAnsi="Times New Roman" w:hint="eastAsia"/>
          <w:color w:val="000000"/>
        </w:rPr>
        <w:t>代表马来西亚</w:t>
      </w:r>
      <w:r w:rsidRPr="00A93F1C">
        <w:rPr>
          <w:rFonts w:ascii="宋体" w:eastAsia="宋体" w:hAnsi="Times New Roman"/>
          <w:color w:val="000000"/>
        </w:rPr>
        <w:t>Hap Seng Land 以1.6亿马币收购吉隆坡金三角区的重点商业写字楼</w:t>
      </w:r>
    </w:p>
    <w:p w14:paraId="50004108" w14:textId="77777777" w:rsidR="00A93F1C" w:rsidRDefault="00A93F1C" w:rsidP="00A93F1C">
      <w:pPr>
        <w:pStyle w:val="af5"/>
        <w:spacing w:before="120"/>
        <w:rPr>
          <w:rFonts w:ascii="宋体" w:eastAsia="宋体" w:hAnsi="Times New Roman"/>
          <w:color w:val="000000"/>
        </w:rPr>
      </w:pPr>
      <w:r w:rsidRPr="00A93F1C">
        <w:rPr>
          <w:rFonts w:ascii="宋体" w:eastAsia="宋体" w:hAnsi="Times New Roman" w:hint="eastAsia"/>
          <w:color w:val="000000"/>
        </w:rPr>
        <w:t>资本市场</w:t>
      </w:r>
    </w:p>
    <w:p w14:paraId="272BE76F" w14:textId="77777777" w:rsidR="00A93F1C" w:rsidRDefault="00A93F1C" w:rsidP="00A93F1C">
      <w:pPr>
        <w:pStyle w:val="af5"/>
        <w:numPr>
          <w:ilvl w:val="0"/>
          <w:numId w:val="10"/>
        </w:numPr>
        <w:spacing w:before="120"/>
        <w:ind w:left="690" w:hanging="240"/>
        <w:rPr>
          <w:rFonts w:ascii="宋体" w:eastAsia="宋体" w:hAnsi="Times New Roman"/>
          <w:color w:val="000000"/>
        </w:rPr>
      </w:pPr>
      <w:r w:rsidRPr="00A93F1C">
        <w:rPr>
          <w:rFonts w:ascii="宋体" w:eastAsia="宋体" w:hAnsi="Times New Roman" w:hint="eastAsia"/>
          <w:color w:val="000000"/>
        </w:rPr>
        <w:t>代表</w:t>
      </w:r>
      <w:r w:rsidRPr="00A93F1C">
        <w:rPr>
          <w:rFonts w:ascii="宋体" w:eastAsia="宋体" w:hAnsi="Times New Roman"/>
          <w:color w:val="000000"/>
        </w:rPr>
        <w:t>Laurels Capital Investments Limited（公司创始人的投资主体）参与ESR集团（1821.HK），一家亚太区领先的新经济不动产管理公司，以及全球最大的上市地产投资管理公司之一的拟私有化项目。此次私有化提案对ESR的股权估值约为552亿港元（71亿美元），是自2021年以来香港联交所最大的私有化项目</w:t>
      </w:r>
    </w:p>
    <w:p w14:paraId="6303DB8F" w14:textId="77777777" w:rsidR="00A93F1C" w:rsidRDefault="00A93F1C" w:rsidP="00A93F1C">
      <w:pPr>
        <w:pStyle w:val="af5"/>
        <w:numPr>
          <w:ilvl w:val="0"/>
          <w:numId w:val="11"/>
        </w:numPr>
        <w:spacing w:before="120"/>
        <w:ind w:left="690" w:hanging="240"/>
        <w:rPr>
          <w:rFonts w:ascii="宋体" w:eastAsia="宋体" w:hAnsi="Times New Roman"/>
          <w:color w:val="000000"/>
        </w:rPr>
      </w:pPr>
      <w:r w:rsidRPr="00A93F1C">
        <w:rPr>
          <w:rFonts w:ascii="宋体" w:eastAsia="宋体" w:hAnsi="Times New Roman" w:hint="eastAsia"/>
          <w:color w:val="000000"/>
        </w:rPr>
        <w:t>代表</w:t>
      </w:r>
      <w:r w:rsidRPr="00A93F1C">
        <w:rPr>
          <w:rFonts w:ascii="宋体" w:eastAsia="宋体" w:hAnsi="Times New Roman"/>
          <w:color w:val="000000"/>
        </w:rPr>
        <w:t>Apollo智慧出行（0860.HK）以反向并购方式与威马控股电动乘用车合并。收购对价约20亿美元，成为近年香港最大规模的反向并购和新上市案子，计划配售4.5亿美元和申请全面要约豁免</w:t>
      </w:r>
    </w:p>
    <w:p w14:paraId="345B3A99" w14:textId="77777777" w:rsidR="00A93F1C" w:rsidRDefault="00A93F1C" w:rsidP="00A93F1C">
      <w:pPr>
        <w:pStyle w:val="af5"/>
        <w:numPr>
          <w:ilvl w:val="0"/>
          <w:numId w:val="12"/>
        </w:numPr>
        <w:spacing w:before="120"/>
        <w:ind w:left="690" w:hanging="240"/>
        <w:rPr>
          <w:rFonts w:ascii="宋体" w:eastAsia="宋体" w:hAnsi="Times New Roman"/>
          <w:color w:val="000000"/>
        </w:rPr>
      </w:pPr>
      <w:r w:rsidRPr="00A93F1C">
        <w:rPr>
          <w:rFonts w:ascii="宋体" w:eastAsia="宋体" w:hAnsi="Times New Roman" w:hint="eastAsia"/>
          <w:color w:val="000000"/>
        </w:rPr>
        <w:t>代表中金、汇丰、农银国际、建银国际、中信里昂、招银国际、安信国际、华融国际、华泰、申万宏源及利弗莫尔证券作为承销商经办金茂物业服务发展股份有限公司</w:t>
      </w:r>
      <w:r w:rsidRPr="00A93F1C">
        <w:rPr>
          <w:rFonts w:ascii="宋体" w:eastAsia="宋体" w:hAnsi="Times New Roman"/>
          <w:color w:val="000000"/>
        </w:rPr>
        <w:t xml:space="preserve"> (0816.HK)（一家中国领先的物业服务公司）在香港联交所主板1.06亿美元的全球发售</w:t>
      </w:r>
    </w:p>
    <w:p w14:paraId="54372AEE" w14:textId="77777777" w:rsidR="00A93F1C" w:rsidRDefault="00A93F1C" w:rsidP="00A93F1C">
      <w:pPr>
        <w:pStyle w:val="af5"/>
        <w:numPr>
          <w:ilvl w:val="0"/>
          <w:numId w:val="13"/>
        </w:numPr>
        <w:spacing w:before="120"/>
        <w:ind w:left="690" w:hanging="240"/>
        <w:rPr>
          <w:rFonts w:ascii="宋体" w:eastAsia="宋体" w:hAnsi="Times New Roman"/>
          <w:color w:val="000000"/>
        </w:rPr>
      </w:pPr>
      <w:r w:rsidRPr="00A93F1C">
        <w:rPr>
          <w:rFonts w:ascii="宋体" w:eastAsia="宋体" w:hAnsi="Times New Roman" w:hint="eastAsia"/>
          <w:color w:val="000000"/>
        </w:rPr>
        <w:t>代表太盟投资集团</w:t>
      </w:r>
      <w:r w:rsidRPr="00A93F1C">
        <w:rPr>
          <w:rFonts w:ascii="宋体" w:eastAsia="宋体" w:hAnsi="Times New Roman"/>
          <w:color w:val="000000"/>
        </w:rPr>
        <w:t>, 一家亚洲领先的投资公司，作为售股股东就中国优然牧业集团有限公司全球发行以及在香港联交所的首次公开发行提供法律服务</w:t>
      </w:r>
    </w:p>
    <w:p w14:paraId="68A23BB2" w14:textId="77777777" w:rsidR="00A93F1C" w:rsidRDefault="00A93F1C" w:rsidP="00A93F1C">
      <w:pPr>
        <w:pStyle w:val="af5"/>
        <w:numPr>
          <w:ilvl w:val="0"/>
          <w:numId w:val="14"/>
        </w:numPr>
        <w:spacing w:before="120"/>
        <w:ind w:left="690" w:hanging="240"/>
        <w:rPr>
          <w:rFonts w:ascii="宋体" w:eastAsia="宋体" w:hAnsi="Times New Roman"/>
          <w:color w:val="000000"/>
        </w:rPr>
      </w:pPr>
      <w:r w:rsidRPr="00A93F1C">
        <w:rPr>
          <w:rFonts w:ascii="宋体" w:eastAsia="宋体" w:hAnsi="Times New Roman" w:hint="eastAsia"/>
          <w:color w:val="000000"/>
        </w:rPr>
        <w:t>代表联席保荐人</w:t>
      </w:r>
      <w:r w:rsidRPr="00A93F1C">
        <w:rPr>
          <w:rFonts w:ascii="宋体" w:eastAsia="宋体" w:hAnsi="Times New Roman"/>
          <w:color w:val="000000"/>
        </w:rPr>
        <w:t>Merrill Lynch Far East Limited及高盛（亚洲）有限责任公司经办杭州泰格医药科技的分拆美国业务Frontage在香港联交所主板2.05亿美元的全球发售</w:t>
      </w:r>
    </w:p>
    <w:p w14:paraId="1BB072AA" w14:textId="77777777" w:rsidR="00A93F1C" w:rsidRDefault="00A93F1C" w:rsidP="00A93F1C">
      <w:pPr>
        <w:pStyle w:val="af5"/>
        <w:numPr>
          <w:ilvl w:val="0"/>
          <w:numId w:val="15"/>
        </w:numPr>
        <w:spacing w:before="120"/>
        <w:ind w:left="690" w:hanging="240"/>
        <w:rPr>
          <w:rFonts w:ascii="宋体" w:eastAsia="宋体" w:hAnsi="Times New Roman"/>
          <w:color w:val="000000"/>
        </w:rPr>
      </w:pPr>
      <w:r w:rsidRPr="00A93F1C">
        <w:rPr>
          <w:rFonts w:ascii="宋体" w:eastAsia="宋体" w:hAnsi="Times New Roman" w:hint="eastAsia"/>
          <w:color w:val="000000"/>
        </w:rPr>
        <w:t>作为美银保荐人与全球协调人的摩根士丹利、花旗环球金融亚洲有限公司和中金公司经办新东方在线科技控股有限公司在香港联交所主板全球发售</w:t>
      </w:r>
    </w:p>
    <w:p w14:paraId="2935FC75" w14:textId="77777777" w:rsidR="00A93F1C" w:rsidRDefault="00A93F1C" w:rsidP="00A93F1C">
      <w:pPr>
        <w:pStyle w:val="af5"/>
        <w:numPr>
          <w:ilvl w:val="0"/>
          <w:numId w:val="16"/>
        </w:numPr>
        <w:spacing w:before="120"/>
        <w:ind w:left="690" w:hanging="240"/>
        <w:rPr>
          <w:rFonts w:ascii="宋体" w:eastAsia="宋体" w:hAnsi="Times New Roman"/>
          <w:color w:val="000000"/>
        </w:rPr>
      </w:pPr>
      <w:r w:rsidRPr="00A93F1C">
        <w:rPr>
          <w:rFonts w:ascii="宋体" w:eastAsia="宋体" w:hAnsi="Times New Roman" w:hint="eastAsia"/>
          <w:color w:val="000000"/>
        </w:rPr>
        <w:t>作为联席保荐人和全球联席协调人的花旗和建银国际金融经办中国科培教育集团</w:t>
      </w:r>
      <w:r w:rsidRPr="00A93F1C">
        <w:rPr>
          <w:rFonts w:ascii="宋体" w:eastAsia="宋体" w:hAnsi="Times New Roman"/>
          <w:color w:val="000000"/>
        </w:rPr>
        <w:t>1.13亿美元的全球发行以及在香港联交所的首次公开发行</w:t>
      </w:r>
    </w:p>
    <w:p w14:paraId="31460479" w14:textId="77777777" w:rsidR="00A93F1C" w:rsidRDefault="00A93F1C" w:rsidP="00A93F1C">
      <w:pPr>
        <w:pStyle w:val="af5"/>
        <w:numPr>
          <w:ilvl w:val="0"/>
          <w:numId w:val="17"/>
        </w:numPr>
        <w:spacing w:before="120"/>
        <w:ind w:left="690" w:hanging="240"/>
        <w:rPr>
          <w:rFonts w:ascii="宋体" w:eastAsia="宋体" w:hAnsi="Times New Roman"/>
          <w:color w:val="000000"/>
        </w:rPr>
      </w:pPr>
      <w:r w:rsidRPr="00A93F1C">
        <w:rPr>
          <w:rFonts w:ascii="宋体" w:eastAsia="宋体" w:hAnsi="Times New Roman" w:hint="eastAsia"/>
          <w:color w:val="000000"/>
        </w:rPr>
        <w:t>代表作为承销商的摩根士丹利亚洲有限公司，华泰金融控股（香港）有限公司及高盛（亚洲）</w:t>
      </w:r>
      <w:r w:rsidRPr="00A93F1C">
        <w:rPr>
          <w:rFonts w:ascii="宋体" w:eastAsia="宋体" w:hAnsi="Times New Roman"/>
          <w:color w:val="000000"/>
        </w:rPr>
        <w:t>L.L.C经办无锡药明康德新药开发股份有限公司H股于香港联交所计划发行约10亿美元</w:t>
      </w:r>
    </w:p>
    <w:p w14:paraId="739E9E68" w14:textId="77777777" w:rsidR="00A93F1C" w:rsidRDefault="00A93F1C" w:rsidP="00A93F1C">
      <w:pPr>
        <w:pStyle w:val="af5"/>
        <w:numPr>
          <w:ilvl w:val="0"/>
          <w:numId w:val="18"/>
        </w:numPr>
        <w:spacing w:before="120"/>
        <w:ind w:left="690" w:hanging="240"/>
        <w:rPr>
          <w:rFonts w:ascii="宋体" w:eastAsia="宋体" w:hAnsi="Times New Roman"/>
          <w:color w:val="000000"/>
        </w:rPr>
      </w:pPr>
      <w:r w:rsidRPr="00A93F1C">
        <w:rPr>
          <w:rFonts w:ascii="宋体" w:eastAsia="宋体" w:hAnsi="Times New Roman" w:hint="eastAsia"/>
          <w:color w:val="000000"/>
        </w:rPr>
        <w:t>代表作为承销商高盛（亚洲）有限责任公司、中信里昂证券资本市场有限公司、</w:t>
      </w:r>
      <w:r w:rsidRPr="00A93F1C">
        <w:rPr>
          <w:rFonts w:ascii="宋体" w:eastAsia="宋体" w:hAnsi="Times New Roman"/>
          <w:color w:val="000000"/>
        </w:rPr>
        <w:t>UBS AG香港分行及国泰君安证券（香港）有限公司经办华领医药作为首批第18A章首次公开招股之公司</w:t>
      </w:r>
    </w:p>
    <w:p w14:paraId="3E32AC6F" w14:textId="77777777" w:rsidR="00A93F1C" w:rsidRDefault="00A93F1C" w:rsidP="00A93F1C">
      <w:pPr>
        <w:pStyle w:val="af5"/>
        <w:numPr>
          <w:ilvl w:val="0"/>
          <w:numId w:val="19"/>
        </w:numPr>
        <w:spacing w:before="120"/>
        <w:ind w:left="690" w:hanging="240"/>
        <w:rPr>
          <w:rFonts w:ascii="宋体" w:eastAsia="宋体" w:hAnsi="Times New Roman"/>
          <w:color w:val="000000"/>
        </w:rPr>
      </w:pPr>
      <w:r w:rsidRPr="00A93F1C">
        <w:rPr>
          <w:rFonts w:ascii="宋体" w:eastAsia="宋体" w:hAnsi="Times New Roman" w:hint="eastAsia"/>
          <w:color w:val="000000"/>
        </w:rPr>
        <w:t>代表天津天宝能源有限公司</w:t>
      </w:r>
      <w:r w:rsidRPr="00A93F1C">
        <w:rPr>
          <w:rFonts w:ascii="宋体" w:eastAsia="宋体" w:hAnsi="Times New Roman"/>
          <w:color w:val="000000"/>
        </w:rPr>
        <w:t>Tianjin Tianbao Energy Co., Ltd. （1671.HK）经办其H股首次公司发售及在香港联交所主板的上市</w:t>
      </w:r>
    </w:p>
    <w:p w14:paraId="01457402" w14:textId="77777777" w:rsidR="00A93F1C" w:rsidRDefault="00A93F1C" w:rsidP="00A93F1C">
      <w:pPr>
        <w:pStyle w:val="af5"/>
        <w:numPr>
          <w:ilvl w:val="0"/>
          <w:numId w:val="20"/>
        </w:numPr>
        <w:spacing w:before="120"/>
        <w:ind w:left="690" w:hanging="240"/>
        <w:rPr>
          <w:rFonts w:ascii="宋体" w:eastAsia="宋体" w:hAnsi="Times New Roman"/>
          <w:color w:val="000000"/>
        </w:rPr>
      </w:pPr>
      <w:r w:rsidRPr="00A93F1C">
        <w:rPr>
          <w:rFonts w:ascii="宋体" w:eastAsia="宋体" w:hAnsi="Times New Roman" w:hint="eastAsia"/>
          <w:color w:val="000000"/>
        </w:rPr>
        <w:t>代表雅各臣科研制药有限公司（一家领先的香港制药公司）经办其全球发行以及在香港联交所主板的首次上市</w:t>
      </w:r>
    </w:p>
    <w:p w14:paraId="77CC5D1E" w14:textId="77777777" w:rsidR="00A93F1C" w:rsidRDefault="00A93F1C" w:rsidP="00A93F1C">
      <w:pPr>
        <w:pStyle w:val="af5"/>
        <w:numPr>
          <w:ilvl w:val="0"/>
          <w:numId w:val="21"/>
        </w:numPr>
        <w:spacing w:before="120"/>
        <w:ind w:left="690" w:hanging="240"/>
        <w:rPr>
          <w:rFonts w:ascii="宋体" w:eastAsia="宋体" w:hAnsi="Times New Roman"/>
          <w:color w:val="000000"/>
        </w:rPr>
      </w:pPr>
      <w:r w:rsidRPr="00A93F1C">
        <w:rPr>
          <w:rFonts w:ascii="宋体" w:eastAsia="宋体" w:hAnsi="Times New Roman" w:hint="eastAsia"/>
          <w:color w:val="000000"/>
        </w:rPr>
        <w:t>代表作为承销商的花旗环球金融亚洲有限公司及里昂证券有限公司经办温州康宁医院股份有限公司</w:t>
      </w:r>
      <w:r w:rsidRPr="00A93F1C">
        <w:rPr>
          <w:rFonts w:ascii="宋体" w:eastAsia="宋体" w:hAnsi="Times New Roman"/>
          <w:color w:val="000000"/>
        </w:rPr>
        <w:t>6.8亿港元H股首次上市及全球发行的相关事宜</w:t>
      </w:r>
    </w:p>
    <w:p w14:paraId="4528700C" w14:textId="77777777" w:rsidR="00A93F1C" w:rsidRDefault="00A93F1C" w:rsidP="00A93F1C">
      <w:pPr>
        <w:pStyle w:val="af5"/>
        <w:numPr>
          <w:ilvl w:val="0"/>
          <w:numId w:val="22"/>
        </w:numPr>
        <w:spacing w:before="120"/>
        <w:ind w:left="690" w:hanging="240"/>
        <w:rPr>
          <w:rFonts w:ascii="宋体" w:eastAsia="宋体" w:hAnsi="Times New Roman"/>
          <w:color w:val="000000"/>
        </w:rPr>
      </w:pPr>
      <w:r w:rsidRPr="00A93F1C">
        <w:rPr>
          <w:rFonts w:ascii="宋体" w:eastAsia="宋体" w:hAnsi="Times New Roman" w:hint="eastAsia"/>
          <w:color w:val="000000"/>
        </w:rPr>
        <w:t>代表</w:t>
      </w:r>
      <w:r w:rsidRPr="00A93F1C">
        <w:rPr>
          <w:rFonts w:ascii="宋体" w:eastAsia="宋体" w:hAnsi="Times New Roman"/>
          <w:color w:val="000000"/>
        </w:rPr>
        <w:t>IMAX China Holding, Inc.经办其在香港联交所主板进行的19.3亿港元的首次公开发行的相关事宜，该次发行承销商为摩根士丹利亚洲有限公司、高盛（亚洲）有限责任公司及中国国际金融香港证券有限公司</w:t>
      </w:r>
    </w:p>
    <w:p w14:paraId="66A59AF1" w14:textId="77777777" w:rsidR="00A93F1C" w:rsidRDefault="00A93F1C" w:rsidP="00A93F1C">
      <w:pPr>
        <w:pStyle w:val="af5"/>
        <w:numPr>
          <w:ilvl w:val="0"/>
          <w:numId w:val="23"/>
        </w:numPr>
        <w:spacing w:before="120"/>
        <w:ind w:left="690" w:hanging="240"/>
        <w:rPr>
          <w:rFonts w:ascii="宋体" w:eastAsia="宋体" w:hAnsi="Times New Roman"/>
          <w:color w:val="000000"/>
        </w:rPr>
      </w:pPr>
      <w:r w:rsidRPr="00A93F1C">
        <w:rPr>
          <w:rFonts w:ascii="宋体" w:eastAsia="宋体" w:hAnsi="Times New Roman" w:hint="eastAsia"/>
          <w:color w:val="000000"/>
        </w:rPr>
        <w:t>代表作为承销商的摩根士丹利、法国巴黎银行证券及联昌国际证券经办高伟电子控股有限公司（</w:t>
      </w:r>
      <w:r w:rsidRPr="00A93F1C">
        <w:rPr>
          <w:rFonts w:ascii="宋体" w:eastAsia="宋体" w:hAnsi="Times New Roman"/>
          <w:color w:val="000000"/>
        </w:rPr>
        <w:t>Apple及其他领先手机通讯公司的前端相机模块主要供应商）在香港联交所主板进行的8.84亿港元的首次上市和普通股全球发行的相关事宜</w:t>
      </w:r>
    </w:p>
    <w:p w14:paraId="569820BE" w14:textId="77777777" w:rsidR="00A93F1C" w:rsidRDefault="00A93F1C" w:rsidP="00A93F1C">
      <w:pPr>
        <w:pStyle w:val="af5"/>
        <w:numPr>
          <w:ilvl w:val="0"/>
          <w:numId w:val="24"/>
        </w:numPr>
        <w:spacing w:before="120"/>
        <w:ind w:left="690" w:hanging="240"/>
        <w:rPr>
          <w:rFonts w:ascii="宋体" w:eastAsia="宋体" w:hAnsi="Times New Roman"/>
          <w:color w:val="000000"/>
        </w:rPr>
      </w:pPr>
      <w:r w:rsidRPr="00A93F1C">
        <w:rPr>
          <w:rFonts w:ascii="宋体" w:eastAsia="宋体" w:hAnsi="Times New Roman" w:hint="eastAsia"/>
          <w:color w:val="000000"/>
        </w:rPr>
        <w:t>代表中国贵金属资源控股有限公司（香港联交所主板上市的黄金开采公司）经办其在香港联交所主板进行的</w:t>
      </w:r>
      <w:r w:rsidRPr="00A93F1C">
        <w:rPr>
          <w:rFonts w:ascii="宋体" w:eastAsia="宋体" w:hAnsi="Times New Roman"/>
          <w:color w:val="000000"/>
        </w:rPr>
        <w:t>2.3亿港元的发售及认购的相关事宜</w:t>
      </w:r>
    </w:p>
    <w:p w14:paraId="59E32C88" w14:textId="77777777" w:rsidR="00A93F1C" w:rsidRDefault="00A93F1C" w:rsidP="00A93F1C">
      <w:pPr>
        <w:pStyle w:val="af5"/>
        <w:numPr>
          <w:ilvl w:val="0"/>
          <w:numId w:val="25"/>
        </w:numPr>
        <w:spacing w:before="120"/>
        <w:ind w:left="690" w:hanging="240"/>
        <w:rPr>
          <w:rFonts w:ascii="宋体" w:eastAsia="宋体" w:hAnsi="Times New Roman"/>
          <w:color w:val="000000"/>
        </w:rPr>
      </w:pPr>
      <w:r w:rsidRPr="00A93F1C">
        <w:rPr>
          <w:rFonts w:ascii="宋体" w:eastAsia="宋体" w:hAnsi="Times New Roman" w:hint="eastAsia"/>
          <w:color w:val="000000"/>
        </w:rPr>
        <w:t>代表五洲国际控股有限公司（一家中国房地产开发商）经办其在香港联交所主板进行的</w:t>
      </w:r>
      <w:r w:rsidRPr="00A93F1C">
        <w:rPr>
          <w:rFonts w:ascii="宋体" w:eastAsia="宋体" w:hAnsi="Times New Roman"/>
          <w:color w:val="000000"/>
        </w:rPr>
        <w:t>16亿港元的首次公开发行的相关事宜，该次发行保荐人为麦格理资本证券有限公司及交银国际（亚洲）有限公司</w:t>
      </w:r>
    </w:p>
    <w:p w14:paraId="7F03259B" w14:textId="77777777" w:rsidR="00A93F1C" w:rsidRDefault="00A93F1C" w:rsidP="00A93F1C">
      <w:pPr>
        <w:pStyle w:val="af5"/>
        <w:numPr>
          <w:ilvl w:val="0"/>
          <w:numId w:val="26"/>
        </w:numPr>
        <w:spacing w:before="120"/>
        <w:ind w:left="690" w:hanging="240"/>
        <w:rPr>
          <w:rFonts w:ascii="宋体" w:eastAsia="宋体" w:hAnsi="Times New Roman"/>
          <w:color w:val="000000"/>
        </w:rPr>
      </w:pPr>
      <w:r w:rsidRPr="00A93F1C">
        <w:rPr>
          <w:rFonts w:ascii="宋体" w:eastAsia="宋体" w:hAnsi="Times New Roman" w:hint="eastAsia"/>
          <w:color w:val="000000"/>
        </w:rPr>
        <w:t>代表五洲国际控股有限公司经办其在香港联交所主板进行的</w:t>
      </w:r>
      <w:r w:rsidRPr="00A93F1C">
        <w:rPr>
          <w:rFonts w:ascii="宋体" w:eastAsia="宋体" w:hAnsi="Times New Roman"/>
          <w:color w:val="000000"/>
        </w:rPr>
        <w:t>4.65亿港元的新股发售和认购的相关事宜</w:t>
      </w:r>
    </w:p>
    <w:p w14:paraId="3786A555" w14:textId="77777777" w:rsidR="00A93F1C" w:rsidRDefault="00A93F1C" w:rsidP="00A93F1C">
      <w:pPr>
        <w:pStyle w:val="af5"/>
        <w:spacing w:before="120"/>
        <w:rPr>
          <w:rFonts w:ascii="宋体" w:eastAsia="宋体" w:hAnsi="Times New Roman"/>
          <w:color w:val="000000"/>
        </w:rPr>
      </w:pPr>
      <w:r w:rsidRPr="00A93F1C">
        <w:rPr>
          <w:rFonts w:ascii="宋体" w:eastAsia="宋体" w:hAnsi="Times New Roman" w:hint="eastAsia"/>
          <w:color w:val="000000"/>
        </w:rPr>
        <w:t>并购</w:t>
      </w:r>
    </w:p>
    <w:p w14:paraId="2728C601" w14:textId="77777777" w:rsidR="00A93F1C" w:rsidRDefault="00A93F1C" w:rsidP="00A93F1C">
      <w:pPr>
        <w:pStyle w:val="af5"/>
        <w:numPr>
          <w:ilvl w:val="0"/>
          <w:numId w:val="27"/>
        </w:numPr>
        <w:spacing w:before="120"/>
        <w:ind w:left="690" w:hanging="240"/>
        <w:rPr>
          <w:rFonts w:ascii="宋体" w:eastAsia="宋体" w:hAnsi="Times New Roman"/>
          <w:color w:val="000000"/>
        </w:rPr>
      </w:pPr>
      <w:r w:rsidRPr="00A93F1C">
        <w:rPr>
          <w:rFonts w:ascii="宋体" w:eastAsia="宋体" w:hAnsi="Times New Roman" w:hint="eastAsia"/>
          <w:color w:val="000000"/>
        </w:rPr>
        <w:t>代表国新发展拟私有化中国中药控股有限公司（股份代号：</w:t>
      </w:r>
      <w:r w:rsidRPr="00A93F1C">
        <w:rPr>
          <w:rFonts w:ascii="宋体" w:eastAsia="宋体" w:hAnsi="Times New Roman"/>
          <w:color w:val="000000"/>
        </w:rPr>
        <w:t>570）项目。国新发展作为主要投资者之一参与财团。该财团通过一家全资拥有的特殊目的公司提出通过计划安排的方式将中国中药控股有限公司私有化之附先决条件之建议。该建议所需的现金总额约为15,645,042,566港元。该交易于2024年2月21日公布。</w:t>
      </w:r>
    </w:p>
    <w:p w14:paraId="39C3DEB9" w14:textId="77777777" w:rsidR="00A93F1C" w:rsidRDefault="00A93F1C" w:rsidP="00A93F1C">
      <w:pPr>
        <w:pStyle w:val="af5"/>
        <w:numPr>
          <w:ilvl w:val="0"/>
          <w:numId w:val="28"/>
        </w:numPr>
        <w:spacing w:before="120"/>
        <w:ind w:left="690" w:hanging="240"/>
        <w:rPr>
          <w:rFonts w:ascii="宋体" w:eastAsia="宋体" w:hAnsi="Times New Roman"/>
          <w:color w:val="000000"/>
        </w:rPr>
      </w:pPr>
      <w:r w:rsidRPr="00A93F1C">
        <w:rPr>
          <w:rFonts w:ascii="宋体" w:eastAsia="宋体" w:hAnsi="Times New Roman" w:hint="eastAsia"/>
          <w:color w:val="000000"/>
        </w:rPr>
        <w:t>代表新城发展控股有限公司（</w:t>
      </w:r>
      <w:r w:rsidRPr="00A93F1C">
        <w:rPr>
          <w:rFonts w:ascii="宋体" w:eastAsia="宋体" w:hAnsi="Times New Roman"/>
          <w:color w:val="000000"/>
        </w:rPr>
        <w:t>1030.HK）向太盟投资集团出售其持有的影院管理业务，总交易代价约为人民币24亿元（包括现金及债务承担）</w:t>
      </w:r>
    </w:p>
    <w:p w14:paraId="0157C765" w14:textId="77777777" w:rsidR="00A93F1C" w:rsidRDefault="00A93F1C" w:rsidP="00A93F1C">
      <w:pPr>
        <w:pStyle w:val="af5"/>
        <w:numPr>
          <w:ilvl w:val="0"/>
          <w:numId w:val="29"/>
        </w:numPr>
        <w:spacing w:before="120"/>
        <w:ind w:left="690" w:hanging="240"/>
        <w:rPr>
          <w:rFonts w:ascii="宋体" w:eastAsia="宋体" w:hAnsi="Times New Roman"/>
          <w:color w:val="000000"/>
        </w:rPr>
      </w:pPr>
      <w:r w:rsidRPr="00A93F1C">
        <w:rPr>
          <w:rFonts w:ascii="宋体" w:eastAsia="宋体" w:hAnsi="Times New Roman" w:hint="eastAsia"/>
          <w:color w:val="000000"/>
        </w:rPr>
        <w:t>代表法国兴业银行（</w:t>
      </w:r>
      <w:r w:rsidRPr="00A93F1C">
        <w:rPr>
          <w:rFonts w:ascii="宋体" w:eastAsia="宋体" w:hAnsi="Times New Roman"/>
          <w:color w:val="000000"/>
        </w:rPr>
        <w:t>EURONEXT: GLE）参与为其与AllianceBernstein（NYSE: AB）成立的合资企业提供服务，该合资企业结合了双方的全球现金股票和股票研究业务。法国兴业银行打算在该合资企业中初步获得51%的股权，全面负责香港牌照和监管问题和法律尽职调查</w:t>
      </w:r>
    </w:p>
    <w:p w14:paraId="02BDA428" w14:textId="77777777" w:rsidR="00A93F1C" w:rsidRDefault="00A93F1C" w:rsidP="00A93F1C">
      <w:pPr>
        <w:pStyle w:val="af5"/>
        <w:numPr>
          <w:ilvl w:val="0"/>
          <w:numId w:val="30"/>
        </w:numPr>
        <w:spacing w:before="120"/>
        <w:ind w:left="690" w:hanging="240"/>
        <w:rPr>
          <w:rFonts w:ascii="宋体" w:eastAsia="宋体" w:hAnsi="Times New Roman"/>
          <w:color w:val="000000"/>
        </w:rPr>
      </w:pPr>
      <w:r w:rsidRPr="00A93F1C">
        <w:rPr>
          <w:rFonts w:ascii="宋体" w:eastAsia="宋体" w:hAnsi="Times New Roman" w:hint="eastAsia"/>
          <w:color w:val="000000"/>
        </w:rPr>
        <w:t>代表太盟投资集团</w:t>
      </w:r>
      <w:r w:rsidRPr="00A93F1C">
        <w:rPr>
          <w:rFonts w:ascii="宋体" w:eastAsia="宋体" w:hAnsi="Times New Roman"/>
          <w:color w:val="000000"/>
        </w:rPr>
        <w:t>, 一家亚洲领先的投资公司，就其对中国优然牧业集团有限公司（</w:t>
      </w:r>
      <w:r w:rsidRPr="00A93F1C">
        <w:rPr>
          <w:rFonts w:ascii="宋体" w:eastAsia="宋体" w:hAnsi="Times New Roman"/>
          <w:color w:val="000000"/>
        </w:rPr>
        <w:t>“</w:t>
      </w:r>
      <w:r w:rsidRPr="00A93F1C">
        <w:rPr>
          <w:rFonts w:ascii="宋体" w:eastAsia="宋体" w:hAnsi="Times New Roman"/>
          <w:color w:val="000000"/>
        </w:rPr>
        <w:t>优然牧业</w:t>
      </w:r>
      <w:r w:rsidRPr="00A93F1C">
        <w:rPr>
          <w:rFonts w:ascii="宋体" w:eastAsia="宋体" w:hAnsi="Times New Roman"/>
          <w:color w:val="000000"/>
        </w:rPr>
        <w:t>”</w:t>
      </w:r>
      <w:r w:rsidRPr="00A93F1C">
        <w:rPr>
          <w:rFonts w:ascii="宋体" w:eastAsia="宋体" w:hAnsi="Times New Roman"/>
          <w:color w:val="000000"/>
        </w:rPr>
        <w:t>）进行的首次公开发行前投资提供法律服务</w:t>
      </w:r>
    </w:p>
    <w:p w14:paraId="770F182F" w14:textId="77777777" w:rsidR="00A93F1C" w:rsidRDefault="00A93F1C" w:rsidP="00A93F1C">
      <w:pPr>
        <w:pStyle w:val="af5"/>
        <w:numPr>
          <w:ilvl w:val="0"/>
          <w:numId w:val="31"/>
        </w:numPr>
        <w:spacing w:before="120"/>
        <w:ind w:left="690" w:hanging="240"/>
        <w:rPr>
          <w:rFonts w:ascii="宋体" w:eastAsia="宋体" w:hAnsi="Times New Roman"/>
          <w:color w:val="000000"/>
        </w:rPr>
      </w:pPr>
      <w:r w:rsidRPr="00A93F1C">
        <w:rPr>
          <w:rFonts w:ascii="宋体" w:eastAsia="宋体" w:hAnsi="Times New Roman" w:hint="eastAsia"/>
          <w:color w:val="000000"/>
        </w:rPr>
        <w:t>代表中国华能集团有限公司试图收购协鑫新能源控股有限公司（</w:t>
      </w:r>
      <w:r w:rsidRPr="00A93F1C">
        <w:rPr>
          <w:rFonts w:ascii="宋体" w:eastAsia="宋体" w:hAnsi="Times New Roman"/>
          <w:color w:val="000000"/>
        </w:rPr>
        <w:t>0451.HK）重组收购业务</w:t>
      </w:r>
    </w:p>
    <w:p w14:paraId="10385539" w14:textId="77777777" w:rsidR="00A93F1C" w:rsidRDefault="00A93F1C" w:rsidP="00A93F1C">
      <w:pPr>
        <w:pStyle w:val="af5"/>
        <w:numPr>
          <w:ilvl w:val="0"/>
          <w:numId w:val="32"/>
        </w:numPr>
        <w:spacing w:before="120"/>
        <w:ind w:left="690" w:hanging="240"/>
        <w:rPr>
          <w:rFonts w:ascii="宋体" w:eastAsia="宋体" w:hAnsi="Times New Roman"/>
          <w:color w:val="000000"/>
        </w:rPr>
      </w:pPr>
      <w:r w:rsidRPr="00A93F1C">
        <w:rPr>
          <w:rFonts w:ascii="宋体" w:eastAsia="宋体" w:hAnsi="Times New Roman" w:hint="eastAsia"/>
          <w:color w:val="000000"/>
        </w:rPr>
        <w:t>代表中青芯鑫（江苏工业园区）资产管理有限责任公司（</w:t>
      </w:r>
      <w:r w:rsidRPr="00A93F1C">
        <w:rPr>
          <w:rFonts w:ascii="宋体" w:eastAsia="宋体" w:hAnsi="Times New Roman"/>
          <w:color w:val="000000"/>
        </w:rPr>
        <w:t>UNIC Capital Management Co., Ltd.）及芯鼎有限公司（Sino Xing Ding Limited）以9.9亿港元收购紫光控股（0365.HK）控股股权并实施香港公司收购，合并及股份回购守则内强制要约收购程序</w:t>
      </w:r>
    </w:p>
    <w:p w14:paraId="0B509CA8" w14:textId="77777777" w:rsidR="00A93F1C" w:rsidRDefault="00A93F1C" w:rsidP="00A93F1C">
      <w:pPr>
        <w:pStyle w:val="af5"/>
        <w:numPr>
          <w:ilvl w:val="0"/>
          <w:numId w:val="33"/>
        </w:numPr>
        <w:spacing w:before="120"/>
        <w:ind w:left="690" w:hanging="240"/>
        <w:rPr>
          <w:rFonts w:ascii="宋体" w:eastAsia="宋体" w:hAnsi="Times New Roman"/>
          <w:color w:val="000000"/>
        </w:rPr>
      </w:pPr>
      <w:r w:rsidRPr="00A93F1C">
        <w:rPr>
          <w:rFonts w:ascii="宋体" w:eastAsia="宋体" w:hAnsi="Times New Roman" w:hint="eastAsia"/>
          <w:color w:val="000000"/>
        </w:rPr>
        <w:t>就</w:t>
      </w:r>
      <w:r w:rsidRPr="00A93F1C">
        <w:rPr>
          <w:rFonts w:ascii="宋体" w:eastAsia="宋体" w:hAnsi="Times New Roman"/>
          <w:color w:val="000000"/>
        </w:rPr>
        <w:t>TCL集团重组事宜（其中涉及两家香港上市公司）的香港收购、备案及监管事宜提供法律服务</w:t>
      </w:r>
    </w:p>
    <w:p w14:paraId="6B0EC03A" w14:textId="77777777" w:rsidR="00A93F1C" w:rsidRDefault="00A93F1C" w:rsidP="00A93F1C">
      <w:pPr>
        <w:pStyle w:val="af5"/>
        <w:numPr>
          <w:ilvl w:val="0"/>
          <w:numId w:val="34"/>
        </w:numPr>
        <w:spacing w:before="120"/>
        <w:ind w:left="690" w:hanging="240"/>
        <w:rPr>
          <w:rFonts w:ascii="宋体" w:eastAsia="宋体" w:hAnsi="Times New Roman"/>
          <w:color w:val="000000"/>
        </w:rPr>
      </w:pPr>
      <w:r w:rsidRPr="00A93F1C">
        <w:rPr>
          <w:rFonts w:ascii="宋体" w:eastAsia="宋体" w:hAnsi="Times New Roman" w:hint="eastAsia"/>
          <w:color w:val="000000"/>
        </w:rPr>
        <w:t>代表香港上市的凤凰医疗集团有限公司（现更名为华润凤凰医疗控股有限公司）经办以</w:t>
      </w:r>
      <w:r w:rsidRPr="00A93F1C">
        <w:rPr>
          <w:rFonts w:ascii="宋体" w:eastAsia="宋体" w:hAnsi="Times New Roman"/>
          <w:color w:val="000000"/>
        </w:rPr>
        <w:t>4.8亿美元向中国保健行业最大型的国有企业之一华润医疗集团有限公司收购其多项医院业务的事宜</w:t>
      </w:r>
    </w:p>
    <w:p w14:paraId="522727D6" w14:textId="77777777" w:rsidR="00A93F1C" w:rsidRDefault="00A93F1C" w:rsidP="00A93F1C">
      <w:pPr>
        <w:pStyle w:val="af5"/>
        <w:numPr>
          <w:ilvl w:val="0"/>
          <w:numId w:val="35"/>
        </w:numPr>
        <w:spacing w:before="120"/>
        <w:ind w:left="690" w:hanging="240"/>
        <w:rPr>
          <w:rFonts w:ascii="宋体" w:eastAsia="宋体" w:hAnsi="Times New Roman"/>
          <w:color w:val="000000"/>
        </w:rPr>
      </w:pPr>
      <w:r w:rsidRPr="00A93F1C">
        <w:rPr>
          <w:rFonts w:ascii="宋体" w:eastAsia="宋体" w:hAnsi="Times New Roman" w:hint="eastAsia"/>
          <w:color w:val="000000"/>
        </w:rPr>
        <w:t>代表麦盛资产管理（亚洲）有限公司及深圳麦盛资产管理（亚洲）有限公司和其股东被中国贵金属（一家香港上市公司）的相关收购</w:t>
      </w:r>
    </w:p>
    <w:p w14:paraId="77D7378C" w14:textId="77777777" w:rsidR="00A93F1C" w:rsidRDefault="00A93F1C" w:rsidP="00A93F1C">
      <w:pPr>
        <w:pStyle w:val="af5"/>
        <w:numPr>
          <w:ilvl w:val="0"/>
          <w:numId w:val="36"/>
        </w:numPr>
        <w:spacing w:before="120"/>
        <w:ind w:left="690" w:hanging="240"/>
        <w:rPr>
          <w:rFonts w:ascii="宋体" w:eastAsia="宋体" w:hAnsi="Times New Roman"/>
          <w:color w:val="000000"/>
        </w:rPr>
      </w:pPr>
      <w:r w:rsidRPr="00A93F1C">
        <w:rPr>
          <w:rFonts w:ascii="宋体" w:eastAsia="宋体" w:hAnsi="Times New Roman" w:hint="eastAsia"/>
          <w:color w:val="000000"/>
        </w:rPr>
        <w:t>代表达能亚太控股私人有限公司（</w:t>
      </w:r>
      <w:r w:rsidRPr="00A93F1C">
        <w:rPr>
          <w:rFonts w:ascii="宋体" w:eastAsia="宋体" w:hAnsi="Times New Roman"/>
          <w:color w:val="000000"/>
        </w:rPr>
        <w:t>Danone Asia Pacific Holdings Pte. Ltd.）经办其通过现金交易以1.5亿欧元向雅士利国际集团有限公司出售多美滋婴幼儿儿食品有限公司的相关事宜</w:t>
      </w:r>
    </w:p>
    <w:p w14:paraId="3A4D8D05" w14:textId="77777777" w:rsidR="00A93F1C" w:rsidRDefault="00A93F1C" w:rsidP="00A93F1C">
      <w:pPr>
        <w:pStyle w:val="af5"/>
        <w:numPr>
          <w:ilvl w:val="0"/>
          <w:numId w:val="37"/>
        </w:numPr>
        <w:spacing w:before="120"/>
        <w:ind w:left="690" w:hanging="240"/>
        <w:rPr>
          <w:rFonts w:ascii="宋体" w:eastAsia="宋体" w:hAnsi="Times New Roman"/>
          <w:color w:val="000000"/>
        </w:rPr>
      </w:pPr>
      <w:r w:rsidRPr="00A93F1C">
        <w:rPr>
          <w:rFonts w:ascii="宋体" w:eastAsia="宋体" w:hAnsi="Times New Roman" w:hint="eastAsia"/>
          <w:color w:val="000000"/>
        </w:rPr>
        <w:t>代表洲际交易所有限公司（</w:t>
      </w:r>
      <w:r w:rsidRPr="00A93F1C">
        <w:rPr>
          <w:rFonts w:ascii="宋体" w:eastAsia="宋体" w:hAnsi="Times New Roman"/>
          <w:color w:val="000000"/>
        </w:rPr>
        <w:t>IntercontinentalExchange Inc.）经办其通过82亿美元的现金和股份对价交易收购NYSE Euronext以及与香港有关的集团内部重组和监管报备的相关事宜</w:t>
      </w:r>
    </w:p>
    <w:p w14:paraId="590BE041" w14:textId="77777777" w:rsidR="00A93F1C" w:rsidRDefault="00A93F1C" w:rsidP="00A93F1C">
      <w:pPr>
        <w:pStyle w:val="af5"/>
        <w:numPr>
          <w:ilvl w:val="0"/>
          <w:numId w:val="38"/>
        </w:numPr>
        <w:spacing w:before="120"/>
        <w:ind w:left="690" w:hanging="240"/>
        <w:rPr>
          <w:rFonts w:ascii="宋体" w:eastAsia="宋体" w:hAnsi="Times New Roman"/>
          <w:color w:val="000000"/>
        </w:rPr>
      </w:pPr>
      <w:r w:rsidRPr="00A93F1C">
        <w:rPr>
          <w:rFonts w:ascii="宋体" w:eastAsia="宋体" w:hAnsi="Times New Roman" w:hint="eastAsia"/>
          <w:color w:val="000000"/>
        </w:rPr>
        <w:t>代表</w:t>
      </w:r>
      <w:r w:rsidRPr="00A93F1C">
        <w:rPr>
          <w:rFonts w:ascii="宋体" w:eastAsia="宋体" w:hAnsi="Times New Roman"/>
          <w:color w:val="000000"/>
        </w:rPr>
        <w:t>Orbimed Healthcare Fund Management经办其以3,240万港元收购李氏大药厂控股有限公司（Lee</w:t>
      </w:r>
      <w:r w:rsidRPr="00A93F1C">
        <w:rPr>
          <w:rFonts w:ascii="宋体" w:eastAsia="宋体" w:hAnsi="Times New Roman"/>
          <w:color w:val="000000"/>
        </w:rPr>
        <w:t>’</w:t>
      </w:r>
      <w:r w:rsidRPr="00A93F1C">
        <w:rPr>
          <w:rFonts w:ascii="宋体" w:eastAsia="宋体" w:hAnsi="Times New Roman"/>
          <w:color w:val="000000"/>
        </w:rPr>
        <w:t>s Pharmaceutical Holdings Limited，香港联交所主板上市公司）股份的相关事宜</w:t>
      </w:r>
    </w:p>
    <w:p w14:paraId="52A4966A" w14:textId="77777777" w:rsidR="00A93F1C" w:rsidRDefault="00A93F1C" w:rsidP="00A93F1C">
      <w:pPr>
        <w:pStyle w:val="af5"/>
        <w:numPr>
          <w:ilvl w:val="0"/>
          <w:numId w:val="39"/>
        </w:numPr>
        <w:spacing w:before="120"/>
        <w:ind w:left="690" w:hanging="240"/>
        <w:rPr>
          <w:rFonts w:ascii="宋体" w:eastAsia="宋体" w:hAnsi="Times New Roman"/>
          <w:color w:val="000000"/>
        </w:rPr>
      </w:pPr>
      <w:r w:rsidRPr="00A93F1C">
        <w:rPr>
          <w:rFonts w:ascii="宋体" w:eastAsia="宋体" w:hAnsi="Times New Roman" w:hint="eastAsia"/>
          <w:color w:val="000000"/>
        </w:rPr>
        <w:t>代表</w:t>
      </w:r>
      <w:r w:rsidRPr="00A93F1C">
        <w:rPr>
          <w:rFonts w:ascii="宋体" w:eastAsia="宋体" w:hAnsi="Times New Roman"/>
          <w:color w:val="000000"/>
        </w:rPr>
        <w:t>Orbimed Advisors LLC经办其对绿叶制药集团有限公司（一家香港联交所主板上市公司）首次公开发行进行3.9亿港元基石投资的相关事宜</w:t>
      </w:r>
    </w:p>
    <w:p w14:paraId="2572D541" w14:textId="77777777" w:rsidR="00A93F1C" w:rsidRDefault="00A93F1C" w:rsidP="00A93F1C">
      <w:pPr>
        <w:pStyle w:val="af5"/>
        <w:spacing w:after="0" w:line="480" w:lineRule="auto"/>
        <w:rPr>
          <w:rFonts w:ascii="宋体" w:eastAsia="宋体" w:hAnsi="宋体"/>
          <w:b/>
          <w:sz w:val="24"/>
        </w:rPr>
      </w:pPr>
      <w:r w:rsidRPr="00A93F1C">
        <w:rPr>
          <w:rFonts w:ascii="宋体" w:eastAsia="宋体" w:hAnsi="宋体" w:hint="eastAsia"/>
          <w:b/>
          <w:sz w:val="24"/>
        </w:rPr>
        <w:t>教育背景</w:t>
      </w:r>
    </w:p>
    <w:p w14:paraId="5AF81AFE" w14:textId="77777777" w:rsidR="00A93F1C" w:rsidRDefault="00A93F1C" w:rsidP="00A93F1C">
      <w:pPr>
        <w:pStyle w:val="af5"/>
        <w:numPr>
          <w:ilvl w:val="0"/>
          <w:numId w:val="40"/>
        </w:numPr>
        <w:spacing w:before="120"/>
        <w:ind w:left="690" w:hanging="240"/>
        <w:rPr>
          <w:rFonts w:ascii="宋体" w:eastAsia="宋体" w:hAnsi="Times New Roman"/>
          <w:color w:val="000000"/>
        </w:rPr>
      </w:pPr>
      <w:r w:rsidRPr="00A93F1C">
        <w:rPr>
          <w:rFonts w:ascii="宋体" w:eastAsia="宋体" w:hAnsi="Times New Roman" w:hint="eastAsia"/>
          <w:color w:val="000000"/>
        </w:rPr>
        <w:t>纽约大学法学院，公司法法学硕士</w:t>
      </w:r>
    </w:p>
    <w:p w14:paraId="5CA9571C" w14:textId="77777777" w:rsidR="00A93F1C" w:rsidRDefault="00A93F1C" w:rsidP="00A93F1C">
      <w:pPr>
        <w:pStyle w:val="af5"/>
        <w:numPr>
          <w:ilvl w:val="0"/>
          <w:numId w:val="41"/>
        </w:numPr>
        <w:spacing w:before="120"/>
        <w:ind w:left="690" w:hanging="240"/>
        <w:rPr>
          <w:rFonts w:ascii="宋体" w:eastAsia="宋体" w:hAnsi="Times New Roman"/>
          <w:color w:val="000000"/>
        </w:rPr>
      </w:pPr>
      <w:r w:rsidRPr="00A93F1C">
        <w:rPr>
          <w:rFonts w:ascii="宋体" w:eastAsia="宋体" w:hAnsi="Times New Roman" w:hint="eastAsia"/>
          <w:color w:val="000000"/>
        </w:rPr>
        <w:t>伦敦大学国王学院，法学学士</w:t>
      </w:r>
    </w:p>
    <w:p w14:paraId="7AEB502E" w14:textId="77777777" w:rsidR="00A93F1C" w:rsidRDefault="00A93F1C" w:rsidP="00A93F1C">
      <w:pPr>
        <w:pStyle w:val="af5"/>
        <w:spacing w:after="0" w:line="480" w:lineRule="auto"/>
        <w:rPr>
          <w:rFonts w:ascii="宋体" w:eastAsia="宋体" w:hAnsi="宋体"/>
          <w:b/>
          <w:sz w:val="24"/>
        </w:rPr>
      </w:pPr>
      <w:r w:rsidRPr="00A93F1C">
        <w:rPr>
          <w:rFonts w:ascii="宋体" w:eastAsia="宋体" w:hAnsi="宋体" w:hint="eastAsia"/>
          <w:b/>
          <w:sz w:val="24"/>
        </w:rPr>
        <w:t>执业资格</w:t>
      </w:r>
    </w:p>
    <w:p w14:paraId="52BABD02" w14:textId="77777777" w:rsidR="00A93F1C" w:rsidRDefault="00A93F1C" w:rsidP="00A93F1C">
      <w:pPr>
        <w:pStyle w:val="af5"/>
        <w:numPr>
          <w:ilvl w:val="0"/>
          <w:numId w:val="42"/>
        </w:numPr>
        <w:spacing w:before="120"/>
        <w:ind w:left="690" w:hanging="240"/>
        <w:rPr>
          <w:rFonts w:ascii="宋体" w:eastAsia="宋体" w:hAnsi="Times New Roman"/>
          <w:color w:val="000000"/>
        </w:rPr>
      </w:pPr>
      <w:r w:rsidRPr="00A93F1C">
        <w:rPr>
          <w:rFonts w:ascii="宋体" w:eastAsia="宋体" w:hAnsi="Times New Roman" w:hint="eastAsia"/>
          <w:color w:val="000000"/>
        </w:rPr>
        <w:t>香港特别行政区执业律师资格</w:t>
      </w:r>
    </w:p>
    <w:p w14:paraId="1D01C4A4" w14:textId="77777777" w:rsidR="00A93F1C" w:rsidRDefault="00A93F1C" w:rsidP="00A93F1C">
      <w:pPr>
        <w:pStyle w:val="af5"/>
        <w:numPr>
          <w:ilvl w:val="0"/>
          <w:numId w:val="43"/>
        </w:numPr>
        <w:spacing w:before="120"/>
        <w:ind w:left="690" w:hanging="240"/>
        <w:rPr>
          <w:rFonts w:ascii="宋体" w:eastAsia="宋体" w:hAnsi="Times New Roman"/>
          <w:color w:val="000000"/>
        </w:rPr>
      </w:pPr>
      <w:r w:rsidRPr="00A93F1C">
        <w:rPr>
          <w:rFonts w:ascii="宋体" w:eastAsia="宋体" w:hAnsi="Times New Roman" w:hint="eastAsia"/>
          <w:color w:val="000000"/>
        </w:rPr>
        <w:t>美国纽约州律师资格</w:t>
      </w:r>
    </w:p>
    <w:p w14:paraId="56C862B9" w14:textId="77777777" w:rsidR="00A93F1C" w:rsidRDefault="00A93F1C" w:rsidP="00A93F1C">
      <w:pPr>
        <w:pStyle w:val="af5"/>
        <w:numPr>
          <w:ilvl w:val="0"/>
          <w:numId w:val="44"/>
        </w:numPr>
        <w:spacing w:before="120"/>
        <w:ind w:left="690" w:hanging="240"/>
        <w:rPr>
          <w:rFonts w:ascii="宋体" w:eastAsia="宋体" w:hAnsi="Times New Roman"/>
          <w:color w:val="000000"/>
        </w:rPr>
      </w:pPr>
      <w:r w:rsidRPr="00A93F1C">
        <w:rPr>
          <w:rFonts w:ascii="宋体" w:eastAsia="宋体" w:hAnsi="Times New Roman" w:hint="eastAsia"/>
          <w:color w:val="000000"/>
        </w:rPr>
        <w:t>马来西亚律师资格</w:t>
      </w:r>
    </w:p>
    <w:p w14:paraId="3592E2A1" w14:textId="77777777" w:rsidR="00A93F1C" w:rsidRDefault="00A93F1C" w:rsidP="00A93F1C">
      <w:pPr>
        <w:pStyle w:val="af5"/>
        <w:numPr>
          <w:ilvl w:val="0"/>
          <w:numId w:val="45"/>
        </w:numPr>
        <w:spacing w:before="120"/>
        <w:ind w:left="690" w:hanging="240"/>
        <w:rPr>
          <w:rFonts w:ascii="宋体" w:eastAsia="宋体" w:hAnsi="Times New Roman"/>
          <w:color w:val="000000"/>
        </w:rPr>
      </w:pPr>
      <w:r w:rsidRPr="00A93F1C">
        <w:rPr>
          <w:rFonts w:ascii="宋体" w:eastAsia="宋体" w:hAnsi="Times New Roman" w:hint="eastAsia"/>
          <w:color w:val="000000"/>
        </w:rPr>
        <w:t>英格兰及威尔士律师资格</w:t>
      </w:r>
    </w:p>
    <w:p w14:paraId="629C68A8" w14:textId="77777777" w:rsidR="00A93F1C" w:rsidRDefault="00A93F1C" w:rsidP="00A93F1C">
      <w:pPr>
        <w:pStyle w:val="af5"/>
        <w:spacing w:after="0" w:line="480" w:lineRule="auto"/>
        <w:rPr>
          <w:rFonts w:ascii="宋体" w:eastAsia="宋体" w:hAnsi="宋体"/>
          <w:b/>
          <w:sz w:val="24"/>
        </w:rPr>
      </w:pPr>
      <w:r w:rsidRPr="00A93F1C">
        <w:rPr>
          <w:rFonts w:ascii="宋体" w:eastAsia="宋体" w:hAnsi="宋体" w:hint="eastAsia"/>
          <w:b/>
          <w:sz w:val="24"/>
        </w:rPr>
        <w:t>工作语言</w:t>
      </w:r>
    </w:p>
    <w:p w14:paraId="371CC533" w14:textId="77777777" w:rsidR="00A93F1C" w:rsidRDefault="00A93F1C" w:rsidP="00A93F1C">
      <w:pPr>
        <w:pStyle w:val="af5"/>
        <w:numPr>
          <w:ilvl w:val="0"/>
          <w:numId w:val="46"/>
        </w:numPr>
        <w:spacing w:before="120"/>
        <w:ind w:left="690" w:hanging="240"/>
        <w:rPr>
          <w:rFonts w:ascii="宋体" w:eastAsia="宋体" w:hAnsi="Times New Roman"/>
          <w:color w:val="000000"/>
        </w:rPr>
      </w:pPr>
      <w:r w:rsidRPr="00A93F1C">
        <w:rPr>
          <w:rFonts w:ascii="宋体" w:eastAsia="宋体" w:hAnsi="Times New Roman" w:hint="eastAsia"/>
          <w:color w:val="000000"/>
        </w:rPr>
        <w:t>普通话</w:t>
      </w:r>
    </w:p>
    <w:p w14:paraId="79BB3C68" w14:textId="77777777" w:rsidR="00A93F1C" w:rsidRDefault="00A93F1C" w:rsidP="00A93F1C">
      <w:pPr>
        <w:pStyle w:val="af5"/>
        <w:numPr>
          <w:ilvl w:val="0"/>
          <w:numId w:val="47"/>
        </w:numPr>
        <w:spacing w:before="120"/>
        <w:ind w:left="690" w:hanging="240"/>
        <w:rPr>
          <w:rFonts w:ascii="宋体" w:eastAsia="宋体" w:hAnsi="Times New Roman"/>
          <w:color w:val="000000"/>
        </w:rPr>
      </w:pPr>
      <w:r w:rsidRPr="00A93F1C">
        <w:rPr>
          <w:rFonts w:ascii="宋体" w:eastAsia="宋体" w:hAnsi="Times New Roman" w:hint="eastAsia"/>
          <w:color w:val="000000"/>
        </w:rPr>
        <w:t>粤语</w:t>
      </w:r>
    </w:p>
    <w:p w14:paraId="2CAC8477" w14:textId="77777777" w:rsidR="00A93F1C" w:rsidRDefault="00A93F1C" w:rsidP="00A93F1C">
      <w:pPr>
        <w:pStyle w:val="af5"/>
        <w:numPr>
          <w:ilvl w:val="0"/>
          <w:numId w:val="48"/>
        </w:numPr>
        <w:spacing w:before="120"/>
        <w:ind w:left="690" w:hanging="240"/>
        <w:rPr>
          <w:rFonts w:ascii="宋体" w:eastAsia="宋体" w:hAnsi="Times New Roman"/>
          <w:color w:val="000000"/>
        </w:rPr>
      </w:pPr>
      <w:r w:rsidRPr="00A93F1C">
        <w:rPr>
          <w:rFonts w:ascii="宋体" w:eastAsia="宋体" w:hAnsi="Times New Roman" w:hint="eastAsia"/>
          <w:color w:val="000000"/>
        </w:rPr>
        <w:t>英语</w:t>
      </w:r>
    </w:p>
    <w:p w14:paraId="4F0A196B" w14:textId="71628120" w:rsidR="00A46A04" w:rsidRPr="00A93F1C" w:rsidRDefault="00A93F1C" w:rsidP="00A93F1C">
      <w:pPr>
        <w:pStyle w:val="af5"/>
        <w:numPr>
          <w:ilvl w:val="0"/>
          <w:numId w:val="49"/>
        </w:numPr>
        <w:spacing w:before="120"/>
        <w:ind w:left="690" w:hanging="240"/>
        <w:rPr>
          <w:rFonts w:ascii="宋体" w:eastAsia="宋体" w:hAnsi="Times New Roman"/>
          <w:color w:val="000000"/>
        </w:rPr>
      </w:pPr>
      <w:r w:rsidRPr="00A93F1C">
        <w:rPr>
          <w:rFonts w:ascii="宋体" w:eastAsia="宋体" w:hAnsi="Times New Roman" w:hint="eastAsia"/>
          <w:color w:val="000000"/>
        </w:rPr>
        <w:t>马来语</w:t>
      </w:r>
    </w:p>
    <w:sectPr w:rsidR="00A46A04" w:rsidRPr="00A93F1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D098F"/>
    <w:multiLevelType w:val="singleLevel"/>
    <w:tmpl w:val="FFFC020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3366ED"/>
    <w:multiLevelType w:val="singleLevel"/>
    <w:tmpl w:val="037856A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4F3063"/>
    <w:multiLevelType w:val="singleLevel"/>
    <w:tmpl w:val="D5FE20F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4F3D5F"/>
    <w:multiLevelType w:val="singleLevel"/>
    <w:tmpl w:val="D49049A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0D68F0"/>
    <w:multiLevelType w:val="singleLevel"/>
    <w:tmpl w:val="4F56F6F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A407240"/>
    <w:multiLevelType w:val="singleLevel"/>
    <w:tmpl w:val="D494B54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CF54937"/>
    <w:multiLevelType w:val="singleLevel"/>
    <w:tmpl w:val="1966BEA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ECA150F"/>
    <w:multiLevelType w:val="singleLevel"/>
    <w:tmpl w:val="E206838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4401BC8"/>
    <w:multiLevelType w:val="singleLevel"/>
    <w:tmpl w:val="218C4C8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F31437E"/>
    <w:multiLevelType w:val="singleLevel"/>
    <w:tmpl w:val="597A015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0187B06"/>
    <w:multiLevelType w:val="singleLevel"/>
    <w:tmpl w:val="19C4CAE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0F16E14"/>
    <w:multiLevelType w:val="singleLevel"/>
    <w:tmpl w:val="47CCAD3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98512D5"/>
    <w:multiLevelType w:val="singleLevel"/>
    <w:tmpl w:val="89FC2CA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A6A5E91"/>
    <w:multiLevelType w:val="singleLevel"/>
    <w:tmpl w:val="A9BC037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B8D69A8"/>
    <w:multiLevelType w:val="singleLevel"/>
    <w:tmpl w:val="C8E22E8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C2A0589"/>
    <w:multiLevelType w:val="singleLevel"/>
    <w:tmpl w:val="5178FB9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5D15E93"/>
    <w:multiLevelType w:val="singleLevel"/>
    <w:tmpl w:val="A60214E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92B61D3"/>
    <w:multiLevelType w:val="singleLevel"/>
    <w:tmpl w:val="2BC6C02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93144C2"/>
    <w:multiLevelType w:val="singleLevel"/>
    <w:tmpl w:val="FCC6E8F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A365A18"/>
    <w:multiLevelType w:val="singleLevel"/>
    <w:tmpl w:val="F51836D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CF005AD"/>
    <w:multiLevelType w:val="singleLevel"/>
    <w:tmpl w:val="751C2BF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18B2ABC"/>
    <w:multiLevelType w:val="singleLevel"/>
    <w:tmpl w:val="CC40671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30F5A73"/>
    <w:multiLevelType w:val="singleLevel"/>
    <w:tmpl w:val="72DCCF3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85246C6"/>
    <w:multiLevelType w:val="singleLevel"/>
    <w:tmpl w:val="D5FE20F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85C4685"/>
    <w:multiLevelType w:val="singleLevel"/>
    <w:tmpl w:val="93E669E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B497676"/>
    <w:multiLevelType w:val="singleLevel"/>
    <w:tmpl w:val="A3AEF58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E8761CE"/>
    <w:multiLevelType w:val="singleLevel"/>
    <w:tmpl w:val="37DC505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0422CAB"/>
    <w:multiLevelType w:val="singleLevel"/>
    <w:tmpl w:val="479EDF7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7A3432C"/>
    <w:multiLevelType w:val="singleLevel"/>
    <w:tmpl w:val="41B4F19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A7C190A"/>
    <w:multiLevelType w:val="singleLevel"/>
    <w:tmpl w:val="143EE2D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D2F0E68"/>
    <w:multiLevelType w:val="singleLevel"/>
    <w:tmpl w:val="1C6A7F5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E547C4F"/>
    <w:multiLevelType w:val="singleLevel"/>
    <w:tmpl w:val="4DBECF6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F1869A5"/>
    <w:multiLevelType w:val="singleLevel"/>
    <w:tmpl w:val="93B6234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F5A3DCE"/>
    <w:multiLevelType w:val="singleLevel"/>
    <w:tmpl w:val="7140249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0631228"/>
    <w:multiLevelType w:val="singleLevel"/>
    <w:tmpl w:val="29564F7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62E4E12"/>
    <w:multiLevelType w:val="singleLevel"/>
    <w:tmpl w:val="BF3ACD3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7806250"/>
    <w:multiLevelType w:val="singleLevel"/>
    <w:tmpl w:val="9E08023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78402F5"/>
    <w:multiLevelType w:val="singleLevel"/>
    <w:tmpl w:val="3898848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89C7FC1"/>
    <w:multiLevelType w:val="singleLevel"/>
    <w:tmpl w:val="B65C645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B0907FE"/>
    <w:multiLevelType w:val="singleLevel"/>
    <w:tmpl w:val="C2968EA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D4673B5"/>
    <w:multiLevelType w:val="singleLevel"/>
    <w:tmpl w:val="F82EC66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D651799"/>
    <w:multiLevelType w:val="singleLevel"/>
    <w:tmpl w:val="A0EE719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DF46E59"/>
    <w:multiLevelType w:val="singleLevel"/>
    <w:tmpl w:val="EE6C560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0AD710B"/>
    <w:multiLevelType w:val="singleLevel"/>
    <w:tmpl w:val="8B42E2F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0D14AB9"/>
    <w:multiLevelType w:val="singleLevel"/>
    <w:tmpl w:val="50B4607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52D1B25"/>
    <w:multiLevelType w:val="singleLevel"/>
    <w:tmpl w:val="6830594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5DC3CF8"/>
    <w:multiLevelType w:val="singleLevel"/>
    <w:tmpl w:val="C53AB7D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97972FE"/>
    <w:multiLevelType w:val="singleLevel"/>
    <w:tmpl w:val="9800B020"/>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D4930B8"/>
    <w:multiLevelType w:val="singleLevel"/>
    <w:tmpl w:val="1D44409A"/>
    <w:lvl w:ilvl="0">
      <w:start w:val="1"/>
      <w:numFmt w:val="bullet"/>
      <w:lvlText w:val=""/>
      <w:lvlJc w:val="left"/>
      <w:pPr>
        <w:tabs>
          <w:tab w:val="num" w:pos="200"/>
        </w:tabs>
        <w:ind w:left="200" w:hanging="200"/>
      </w:pPr>
      <w:rPr>
        <w:rFonts w:ascii="Wingdings" w:hAnsi="Wingdings" w:hint="default"/>
        <w:sz w:val="16"/>
      </w:rPr>
    </w:lvl>
  </w:abstractNum>
  <w:num w:numId="1">
    <w:abstractNumId w:val="1"/>
  </w:num>
  <w:num w:numId="2">
    <w:abstractNumId w:val="9"/>
  </w:num>
  <w:num w:numId="3">
    <w:abstractNumId w:val="13"/>
  </w:num>
  <w:num w:numId="4">
    <w:abstractNumId w:val="33"/>
  </w:num>
  <w:num w:numId="5">
    <w:abstractNumId w:val="4"/>
  </w:num>
  <w:num w:numId="6">
    <w:abstractNumId w:val="21"/>
  </w:num>
  <w:num w:numId="7">
    <w:abstractNumId w:val="24"/>
  </w:num>
  <w:num w:numId="8">
    <w:abstractNumId w:val="30"/>
  </w:num>
  <w:num w:numId="9">
    <w:abstractNumId w:val="29"/>
  </w:num>
  <w:num w:numId="10">
    <w:abstractNumId w:val="35"/>
  </w:num>
  <w:num w:numId="11">
    <w:abstractNumId w:val="48"/>
  </w:num>
  <w:num w:numId="12">
    <w:abstractNumId w:val="36"/>
  </w:num>
  <w:num w:numId="13">
    <w:abstractNumId w:val="42"/>
  </w:num>
  <w:num w:numId="14">
    <w:abstractNumId w:val="32"/>
  </w:num>
  <w:num w:numId="15">
    <w:abstractNumId w:val="0"/>
  </w:num>
  <w:num w:numId="16">
    <w:abstractNumId w:val="47"/>
  </w:num>
  <w:num w:numId="17">
    <w:abstractNumId w:val="15"/>
  </w:num>
  <w:num w:numId="18">
    <w:abstractNumId w:val="26"/>
  </w:num>
  <w:num w:numId="19">
    <w:abstractNumId w:val="14"/>
  </w:num>
  <w:num w:numId="20">
    <w:abstractNumId w:val="28"/>
  </w:num>
  <w:num w:numId="21">
    <w:abstractNumId w:val="7"/>
  </w:num>
  <w:num w:numId="22">
    <w:abstractNumId w:val="40"/>
  </w:num>
  <w:num w:numId="23">
    <w:abstractNumId w:val="6"/>
  </w:num>
  <w:num w:numId="24">
    <w:abstractNumId w:val="16"/>
  </w:num>
  <w:num w:numId="25">
    <w:abstractNumId w:val="18"/>
  </w:num>
  <w:num w:numId="26">
    <w:abstractNumId w:val="5"/>
  </w:num>
  <w:num w:numId="27">
    <w:abstractNumId w:val="39"/>
  </w:num>
  <w:num w:numId="28">
    <w:abstractNumId w:val="17"/>
  </w:num>
  <w:num w:numId="29">
    <w:abstractNumId w:val="3"/>
  </w:num>
  <w:num w:numId="30">
    <w:abstractNumId w:val="27"/>
  </w:num>
  <w:num w:numId="31">
    <w:abstractNumId w:val="44"/>
  </w:num>
  <w:num w:numId="32">
    <w:abstractNumId w:val="22"/>
  </w:num>
  <w:num w:numId="33">
    <w:abstractNumId w:val="12"/>
  </w:num>
  <w:num w:numId="34">
    <w:abstractNumId w:val="38"/>
  </w:num>
  <w:num w:numId="35">
    <w:abstractNumId w:val="34"/>
  </w:num>
  <w:num w:numId="36">
    <w:abstractNumId w:val="8"/>
  </w:num>
  <w:num w:numId="37">
    <w:abstractNumId w:val="31"/>
  </w:num>
  <w:num w:numId="38">
    <w:abstractNumId w:val="11"/>
  </w:num>
  <w:num w:numId="39">
    <w:abstractNumId w:val="46"/>
  </w:num>
  <w:num w:numId="40">
    <w:abstractNumId w:val="10"/>
  </w:num>
  <w:num w:numId="41">
    <w:abstractNumId w:val="41"/>
  </w:num>
  <w:num w:numId="42">
    <w:abstractNumId w:val="20"/>
  </w:num>
  <w:num w:numId="43">
    <w:abstractNumId w:val="25"/>
  </w:num>
  <w:num w:numId="44">
    <w:abstractNumId w:val="45"/>
  </w:num>
  <w:num w:numId="45">
    <w:abstractNumId w:val="37"/>
  </w:num>
  <w:num w:numId="46">
    <w:abstractNumId w:val="19"/>
  </w:num>
  <w:num w:numId="47">
    <w:abstractNumId w:val="43"/>
  </w:num>
  <w:num w:numId="48">
    <w:abstractNumId w:val="23"/>
  </w:num>
  <w:num w:numId="49">
    <w:abstractNumId w:val="2"/>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A93F1C"/>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93F1C"/>
    <w:pPr>
      <w:spacing w:after="120"/>
    </w:pPr>
  </w:style>
  <w:style w:type="character" w:customStyle="1" w:styleId="af6">
    <w:name w:val="正文文本 字符"/>
    <w:basedOn w:val="a0"/>
    <w:link w:val="af5"/>
    <w:uiPriority w:val="99"/>
    <w:rsid w:val="00A93F1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CE28C2-B61F-4D6B-9182-982752985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576</Words>
  <Characters>3289</Characters>
  <Application>Microsoft Office Word</Application>
  <DocSecurity>0</DocSecurity>
  <Lines>27</Lines>
  <Paragraphs>7</Paragraphs>
  <ScaleCrop>false</ScaleCrop>
  <Company/>
  <LinksUpToDate>false</LinksUpToDate>
  <CharactersWithSpaces>3858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2026-06-17T09:47:00Z</dcterms:created>
  <dcterms:modified xsi:type="dcterms:W3CDTF">2026-06-17T09:47:00Z</dcterms:modified>
</cp:coreProperties>
</file>