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6CFA46" w:rsidR="0049405C" w:rsidRPr="00187BAA" w:rsidRDefault="009E1C66" w:rsidP="009E1C66">
            <w:pPr>
              <w:spacing w:line="720" w:lineRule="auto"/>
              <w:rPr>
                <w:rFonts w:ascii="宋体" w:eastAsia="宋体" w:hAnsi="宋体"/>
                <w:color w:val="545551"/>
              </w:rPr>
            </w:pPr>
            <w:bookmarkStart w:id="0" w:name="xingming"/>
            <w:bookmarkStart w:id="1" w:name="_GoBack"/>
            <w:bookmarkEnd w:id="1"/>
            <w:r w:rsidRPr="009E1C66">
              <w:rPr>
                <w:rFonts w:ascii="宋体" w:eastAsia="宋体" w:hAnsi="Times New Roman" w:hint="eastAsia"/>
                <w:b/>
                <w:color w:val="000000"/>
                <w:sz w:val="48"/>
              </w:rPr>
              <w:t>罗德源</w:t>
            </w:r>
            <w:bookmarkEnd w:id="0"/>
          </w:p>
          <w:p w14:paraId="706EB16B" w14:textId="61CA1736" w:rsidR="0049405C" w:rsidRPr="00187BAA" w:rsidRDefault="009E1C66" w:rsidP="009E1C66">
            <w:pPr>
              <w:spacing w:line="360" w:lineRule="auto"/>
              <w:rPr>
                <w:rFonts w:ascii="宋体" w:eastAsia="宋体" w:hAnsi="宋体"/>
                <w:b/>
                <w:bCs/>
                <w:color w:val="545551"/>
              </w:rPr>
            </w:pPr>
            <w:bookmarkStart w:id="2" w:name="didian"/>
            <w:r w:rsidRPr="009E1C66">
              <w:rPr>
                <w:rFonts w:ascii="宋体" w:eastAsia="宋体" w:hAnsi="Times New Roman" w:hint="eastAsia"/>
                <w:b/>
                <w:bCs/>
                <w:color w:val="000000"/>
              </w:rPr>
              <w:t>合伙人·香港</w:t>
            </w:r>
            <w:bookmarkEnd w:id="2"/>
          </w:p>
          <w:p w14:paraId="6199424A" w14:textId="20E94CE8" w:rsidR="0049405C" w:rsidRPr="00187BAA" w:rsidRDefault="009E1C66" w:rsidP="009E1C66">
            <w:pPr>
              <w:spacing w:line="360" w:lineRule="auto"/>
              <w:rPr>
                <w:rFonts w:ascii="宋体" w:eastAsia="宋体" w:hAnsi="宋体"/>
                <w:color w:val="545551"/>
              </w:rPr>
            </w:pPr>
            <w:bookmarkStart w:id="3" w:name="dianhua"/>
            <w:r w:rsidRPr="009E1C66">
              <w:rPr>
                <w:rFonts w:ascii="宋体" w:eastAsia="宋体" w:hAnsi="Times New Roman"/>
                <w:color w:val="000000"/>
              </w:rPr>
              <w:t xml:space="preserve">+852 3749 1150 </w:t>
            </w:r>
            <w:bookmarkEnd w:id="3"/>
          </w:p>
          <w:p w14:paraId="4F910ACA" w14:textId="31383567" w:rsidR="0049405C" w:rsidRPr="00187BAA" w:rsidRDefault="009E1C66" w:rsidP="009E1C66">
            <w:pPr>
              <w:spacing w:line="360" w:lineRule="auto"/>
              <w:rPr>
                <w:rFonts w:ascii="宋体" w:eastAsia="宋体" w:hAnsi="宋体"/>
                <w:color w:val="000000"/>
              </w:rPr>
            </w:pPr>
            <w:bookmarkStart w:id="4" w:name="youxiang"/>
            <w:r w:rsidRPr="009E1C66">
              <w:rPr>
                <w:rFonts w:ascii="宋体" w:eastAsia="宋体" w:hAnsi="Times New Roman"/>
                <w:color w:val="000000"/>
              </w:rPr>
              <w:t>colin.law@fangdalaw.com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73D96E" w:rsidR="0049405C" w:rsidRPr="00187BAA" w:rsidRDefault="009E1C6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693AC3" wp14:editId="71A3A72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657115" w:rsidR="009465FB" w:rsidRPr="00187BAA" w:rsidRDefault="009E1C66" w:rsidP="007177F3">
            <w:pPr>
              <w:rPr>
                <w:rFonts w:ascii="宋体" w:eastAsia="宋体" w:hAnsi="宋体"/>
                <w:color w:val="000000"/>
                <w:szCs w:val="21"/>
              </w:rPr>
            </w:pPr>
            <w:bookmarkStart w:id="6" w:name="zhiyelingyu"/>
            <w:r w:rsidRPr="009E1C66">
              <w:rPr>
                <w:rFonts w:ascii="宋体" w:eastAsia="宋体" w:hAnsi="Times New Roman" w:hint="eastAsia"/>
                <w:color w:val="000000"/>
                <w:szCs w:val="21"/>
              </w:rPr>
              <w:t>罗德源律师执业领域为香港资本市场、私有化和跨境和国际收购业务。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DBDA5C" w14:textId="77777777" w:rsidR="009E1C6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96E0D8" w14:textId="77777777" w:rsidR="009E1C66" w:rsidRDefault="009E1C66" w:rsidP="009E1C66">
      <w:pPr>
        <w:pStyle w:val="af5"/>
        <w:spacing w:before="120"/>
        <w:rPr>
          <w:rFonts w:ascii="宋体" w:eastAsia="宋体" w:hAnsi="Times New Roman"/>
          <w:color w:val="000000"/>
        </w:rPr>
      </w:pPr>
      <w:r w:rsidRPr="009E1C66">
        <w:rPr>
          <w:rFonts w:ascii="宋体" w:eastAsia="宋体" w:hAnsi="Times New Roman" w:hint="eastAsia"/>
          <w:color w:val="000000"/>
        </w:rPr>
        <w:t>罗律师尤其擅长科创、生物科技以及新能源行业的项目。在国际权威的《钱伯斯与合伙人》、《国际金融法律评论》（</w:t>
      </w:r>
      <w:r w:rsidRPr="009E1C66">
        <w:rPr>
          <w:rFonts w:ascii="宋体" w:eastAsia="宋体" w:hAnsi="Times New Roman"/>
          <w:color w:val="000000"/>
        </w:rPr>
        <w:t>IFLR 1000）及《亚太法律500强》等主要律师名录中，持续被评为香港公司业务／并购业务及资本市场业务领先律师。罗德源律师执业超过三十年，是香港资本市场最资深的合伙人律师之一。罗律师此前担任顶级的美资所的亚太区负责人。罗律师在香港上市公司私有化，控制权收购领域也累积了行业标杆的业绩。</w:t>
      </w:r>
    </w:p>
    <w:p w14:paraId="2B584AF7" w14:textId="77777777" w:rsidR="009E1C66" w:rsidRDefault="009E1C66" w:rsidP="009E1C66">
      <w:pPr>
        <w:pStyle w:val="af5"/>
        <w:spacing w:after="0" w:line="480" w:lineRule="auto"/>
        <w:rPr>
          <w:rFonts w:ascii="宋体" w:eastAsia="宋体" w:hAnsi="宋体"/>
          <w:b/>
          <w:sz w:val="24"/>
        </w:rPr>
      </w:pPr>
      <w:r w:rsidRPr="009E1C66">
        <w:rPr>
          <w:rFonts w:ascii="宋体" w:eastAsia="宋体" w:hAnsi="宋体" w:hint="eastAsia"/>
          <w:b/>
          <w:sz w:val="24"/>
        </w:rPr>
        <w:t>近期代理的主要案件</w:t>
      </w:r>
    </w:p>
    <w:p w14:paraId="1574ECD6" w14:textId="77777777" w:rsidR="009E1C66" w:rsidRDefault="009E1C66" w:rsidP="009E1C66">
      <w:pPr>
        <w:pStyle w:val="af5"/>
        <w:spacing w:before="120"/>
        <w:rPr>
          <w:rFonts w:ascii="宋体" w:eastAsia="宋体" w:hAnsi="Times New Roman"/>
          <w:color w:val="000000"/>
        </w:rPr>
      </w:pPr>
      <w:r w:rsidRPr="009E1C66">
        <w:rPr>
          <w:rFonts w:ascii="宋体" w:eastAsia="宋体" w:hAnsi="Times New Roman" w:hint="eastAsia"/>
          <w:color w:val="000000"/>
        </w:rPr>
        <w:t>公司资本融资</w:t>
      </w:r>
    </w:p>
    <w:p w14:paraId="7D0DBB48" w14:textId="77777777" w:rsidR="009E1C66" w:rsidRDefault="009E1C66" w:rsidP="009E1C66">
      <w:pPr>
        <w:pStyle w:val="af5"/>
        <w:numPr>
          <w:ilvl w:val="0"/>
          <w:numId w:val="1"/>
        </w:numPr>
        <w:spacing w:before="120"/>
        <w:ind w:left="690" w:hanging="240"/>
        <w:rPr>
          <w:rFonts w:ascii="宋体" w:eastAsia="宋体" w:hAnsi="Times New Roman"/>
          <w:color w:val="000000"/>
        </w:rPr>
      </w:pPr>
      <w:r w:rsidRPr="009E1C66">
        <w:rPr>
          <w:rFonts w:ascii="宋体" w:eastAsia="宋体" w:hAnsi="Times New Roman" w:hint="eastAsia"/>
          <w:color w:val="000000"/>
        </w:rPr>
        <w:t>代表</w:t>
      </w:r>
      <w:r w:rsidRPr="009E1C66">
        <w:rPr>
          <w:rFonts w:ascii="宋体" w:eastAsia="宋体" w:hAnsi="Times New Roman"/>
          <w:color w:val="000000"/>
        </w:rPr>
        <w:t>Apollo智慧出行（港交所股份代号：860）以反向并购方式与威马控股电动乘用车合并。收购对价约20亿美元，成为近年香港最大规模的反向并购和新上市案子，计划配售4.5亿美元和申请全面要约豁免</w:t>
      </w:r>
    </w:p>
    <w:p w14:paraId="3AC03E42" w14:textId="77777777" w:rsidR="009E1C66" w:rsidRDefault="009E1C66" w:rsidP="009E1C66">
      <w:pPr>
        <w:pStyle w:val="af5"/>
        <w:numPr>
          <w:ilvl w:val="0"/>
          <w:numId w:val="2"/>
        </w:numPr>
        <w:spacing w:before="120"/>
        <w:ind w:left="690" w:hanging="240"/>
        <w:rPr>
          <w:rFonts w:ascii="宋体" w:eastAsia="宋体" w:hAnsi="Times New Roman"/>
          <w:color w:val="000000"/>
        </w:rPr>
      </w:pPr>
      <w:r w:rsidRPr="009E1C66">
        <w:rPr>
          <w:rFonts w:ascii="宋体" w:eastAsia="宋体" w:hAnsi="Times New Roman" w:hint="eastAsia"/>
          <w:color w:val="000000"/>
        </w:rPr>
        <w:t>代表中金及汇丰作为承销商经办金茂物業服務發展股份有限公司</w:t>
      </w:r>
      <w:r w:rsidRPr="009E1C66">
        <w:rPr>
          <w:rFonts w:ascii="宋体" w:eastAsia="宋体" w:hAnsi="Times New Roman"/>
          <w:color w:val="000000"/>
        </w:rPr>
        <w:t xml:space="preserve"> (港交所股份代号：816)（一家中国领先的物业服务公司）在香港联交所主板1.06亿美元的全球发售</w:t>
      </w:r>
    </w:p>
    <w:p w14:paraId="3B30514E" w14:textId="77777777" w:rsidR="009E1C66" w:rsidRDefault="009E1C66" w:rsidP="009E1C66">
      <w:pPr>
        <w:pStyle w:val="af5"/>
        <w:numPr>
          <w:ilvl w:val="0"/>
          <w:numId w:val="3"/>
        </w:numPr>
        <w:spacing w:before="120"/>
        <w:ind w:left="690" w:hanging="240"/>
        <w:rPr>
          <w:rFonts w:ascii="宋体" w:eastAsia="宋体" w:hAnsi="Times New Roman"/>
          <w:color w:val="000000"/>
        </w:rPr>
      </w:pPr>
      <w:r w:rsidRPr="009E1C66">
        <w:rPr>
          <w:rFonts w:ascii="宋体" w:eastAsia="宋体" w:hAnsi="Times New Roman" w:hint="eastAsia"/>
          <w:color w:val="000000"/>
        </w:rPr>
        <w:t>代表药明巨诺（一家中国领先的临床及临床前阶段细胞治疗公司）经办在香港联交所主板</w:t>
      </w:r>
      <w:r w:rsidRPr="009E1C66">
        <w:rPr>
          <w:rFonts w:ascii="宋体" w:eastAsia="宋体" w:hAnsi="Times New Roman"/>
          <w:color w:val="000000"/>
        </w:rPr>
        <w:t>4.0亿美元的全球发售</w:t>
      </w:r>
    </w:p>
    <w:p w14:paraId="2793D5DF" w14:textId="77777777" w:rsidR="009E1C66" w:rsidRDefault="009E1C66" w:rsidP="009E1C66">
      <w:pPr>
        <w:pStyle w:val="af5"/>
        <w:numPr>
          <w:ilvl w:val="0"/>
          <w:numId w:val="4"/>
        </w:numPr>
        <w:spacing w:before="120"/>
        <w:ind w:left="690" w:hanging="240"/>
        <w:rPr>
          <w:rFonts w:ascii="宋体" w:eastAsia="宋体" w:hAnsi="Times New Roman"/>
          <w:color w:val="000000"/>
        </w:rPr>
      </w:pPr>
      <w:r w:rsidRPr="009E1C66">
        <w:rPr>
          <w:rFonts w:ascii="宋体" w:eastAsia="宋体" w:hAnsi="Times New Roman" w:hint="eastAsia"/>
          <w:color w:val="000000"/>
        </w:rPr>
        <w:t>代表药明生物科技有限公司（港交所股份代号：</w:t>
      </w:r>
      <w:r w:rsidRPr="009E1C66">
        <w:rPr>
          <w:rFonts w:ascii="宋体" w:eastAsia="宋体" w:hAnsi="Times New Roman"/>
          <w:color w:val="000000"/>
        </w:rPr>
        <w:t>2269）及其控股股东进行一连串新股份及现有股份配售，总值已超越125亿美元</w:t>
      </w:r>
    </w:p>
    <w:p w14:paraId="37086958" w14:textId="77777777" w:rsidR="009E1C66" w:rsidRDefault="009E1C66" w:rsidP="009E1C66">
      <w:pPr>
        <w:pStyle w:val="af5"/>
        <w:numPr>
          <w:ilvl w:val="0"/>
          <w:numId w:val="5"/>
        </w:numPr>
        <w:spacing w:before="120"/>
        <w:ind w:left="690" w:hanging="240"/>
        <w:rPr>
          <w:rFonts w:ascii="宋体" w:eastAsia="宋体" w:hAnsi="Times New Roman"/>
          <w:color w:val="000000"/>
        </w:rPr>
      </w:pPr>
      <w:r w:rsidRPr="009E1C66">
        <w:rPr>
          <w:rFonts w:ascii="宋体" w:eastAsia="宋体" w:hAnsi="Times New Roman" w:hint="eastAsia"/>
          <w:color w:val="000000"/>
        </w:rPr>
        <w:t>代表作为配售代理的摩根士丹利、华泰、高盛及摩根大通经办无锡药明康德新药开发股份有限公司（港交所股份代号：</w:t>
      </w:r>
      <w:r w:rsidRPr="009E1C66">
        <w:rPr>
          <w:rFonts w:ascii="宋体" w:eastAsia="宋体" w:hAnsi="Times New Roman"/>
          <w:color w:val="000000"/>
        </w:rPr>
        <w:t>2359）总值逾70亿美元的H股配售</w:t>
      </w:r>
    </w:p>
    <w:p w14:paraId="7F6450F1" w14:textId="77777777" w:rsidR="009E1C66" w:rsidRDefault="009E1C66" w:rsidP="009E1C66">
      <w:pPr>
        <w:pStyle w:val="af5"/>
        <w:numPr>
          <w:ilvl w:val="0"/>
          <w:numId w:val="6"/>
        </w:numPr>
        <w:spacing w:before="120"/>
        <w:ind w:left="690" w:hanging="240"/>
        <w:rPr>
          <w:rFonts w:ascii="宋体" w:eastAsia="宋体" w:hAnsi="Times New Roman"/>
          <w:color w:val="000000"/>
        </w:rPr>
      </w:pPr>
      <w:r w:rsidRPr="009E1C66">
        <w:rPr>
          <w:rFonts w:ascii="宋体" w:eastAsia="宋体" w:hAnsi="Times New Roman" w:hint="eastAsia"/>
          <w:color w:val="000000"/>
        </w:rPr>
        <w:t>代表锦欣生殖医疗集团有限公司（港交所股份代号：</w:t>
      </w:r>
      <w:r w:rsidRPr="009E1C66">
        <w:rPr>
          <w:rFonts w:ascii="宋体" w:eastAsia="宋体" w:hAnsi="Times New Roman"/>
          <w:color w:val="000000"/>
        </w:rPr>
        <w:t>1951）及其主要股东在港交所主板上市后进行一连串新股份及现有股份配售，总值约4.08亿美元</w:t>
      </w:r>
    </w:p>
    <w:p w14:paraId="5424FD43" w14:textId="77777777" w:rsidR="009E1C66" w:rsidRDefault="009E1C66" w:rsidP="009E1C66">
      <w:pPr>
        <w:pStyle w:val="af5"/>
        <w:numPr>
          <w:ilvl w:val="0"/>
          <w:numId w:val="7"/>
        </w:numPr>
        <w:spacing w:before="120"/>
        <w:ind w:left="690" w:hanging="240"/>
        <w:rPr>
          <w:rFonts w:ascii="宋体" w:eastAsia="宋体" w:hAnsi="Times New Roman"/>
          <w:color w:val="000000"/>
        </w:rPr>
      </w:pPr>
      <w:r w:rsidRPr="009E1C66">
        <w:rPr>
          <w:rFonts w:ascii="宋体" w:eastAsia="宋体" w:hAnsi="Times New Roman" w:hint="eastAsia"/>
          <w:color w:val="000000"/>
        </w:rPr>
        <w:t>代表锦欣生殖在香港联交所主板约</w:t>
      </w:r>
      <w:r w:rsidRPr="009E1C66">
        <w:rPr>
          <w:rFonts w:ascii="宋体" w:eastAsia="宋体" w:hAnsi="Times New Roman"/>
          <w:color w:val="000000"/>
        </w:rPr>
        <w:t>4.0亿美元的全球发售，联席保荐人为摩根及CLSA</w:t>
      </w:r>
    </w:p>
    <w:p w14:paraId="76486A67" w14:textId="77777777" w:rsidR="009E1C66" w:rsidRDefault="009E1C66" w:rsidP="009E1C66">
      <w:pPr>
        <w:pStyle w:val="af5"/>
        <w:numPr>
          <w:ilvl w:val="0"/>
          <w:numId w:val="8"/>
        </w:numPr>
        <w:spacing w:before="120"/>
        <w:ind w:left="690" w:hanging="240"/>
        <w:rPr>
          <w:rFonts w:ascii="宋体" w:eastAsia="宋体" w:hAnsi="Times New Roman"/>
          <w:color w:val="000000"/>
        </w:rPr>
      </w:pPr>
      <w:r w:rsidRPr="009E1C66">
        <w:rPr>
          <w:rFonts w:ascii="宋体" w:eastAsia="宋体" w:hAnsi="Times New Roman" w:hint="eastAsia"/>
          <w:color w:val="000000"/>
        </w:rPr>
        <w:t>作为保荐人与全球协调人的摩根士丹利、华泰金融以及高盛经办药明康德在香港联交所主板</w:t>
      </w:r>
      <w:r w:rsidRPr="009E1C66">
        <w:rPr>
          <w:rFonts w:ascii="宋体" w:eastAsia="宋体" w:hAnsi="Times New Roman"/>
          <w:color w:val="000000"/>
        </w:rPr>
        <w:t>10亿美元的全球H股发行</w:t>
      </w:r>
    </w:p>
    <w:p w14:paraId="1146EE9B" w14:textId="77777777" w:rsidR="009E1C66" w:rsidRDefault="009E1C66" w:rsidP="009E1C66">
      <w:pPr>
        <w:pStyle w:val="af5"/>
        <w:numPr>
          <w:ilvl w:val="0"/>
          <w:numId w:val="9"/>
        </w:numPr>
        <w:spacing w:before="120"/>
        <w:ind w:left="690" w:hanging="240"/>
        <w:rPr>
          <w:rFonts w:ascii="宋体" w:eastAsia="宋体" w:hAnsi="Times New Roman"/>
          <w:color w:val="000000"/>
        </w:rPr>
      </w:pPr>
      <w:r w:rsidRPr="009E1C66">
        <w:rPr>
          <w:rFonts w:ascii="宋体" w:eastAsia="宋体" w:hAnsi="Times New Roman" w:hint="eastAsia"/>
          <w:color w:val="000000"/>
        </w:rPr>
        <w:t>作为保荐人的美林、摩根士丹利和招商证券经办药明生物技术有限公司在香港联交所主板约</w:t>
      </w:r>
      <w:r w:rsidRPr="009E1C66">
        <w:rPr>
          <w:rFonts w:ascii="宋体" w:eastAsia="宋体" w:hAnsi="Times New Roman"/>
          <w:color w:val="000000"/>
        </w:rPr>
        <w:t>5.10亿美元股份发售及首次公开发行</w:t>
      </w:r>
    </w:p>
    <w:p w14:paraId="17B22F0D" w14:textId="77777777" w:rsidR="009E1C66" w:rsidRDefault="009E1C66" w:rsidP="009E1C66">
      <w:pPr>
        <w:pStyle w:val="af5"/>
        <w:numPr>
          <w:ilvl w:val="0"/>
          <w:numId w:val="10"/>
        </w:numPr>
        <w:spacing w:before="120"/>
        <w:ind w:left="690" w:hanging="240"/>
        <w:rPr>
          <w:rFonts w:ascii="宋体" w:eastAsia="宋体" w:hAnsi="Times New Roman"/>
          <w:color w:val="000000"/>
        </w:rPr>
      </w:pPr>
      <w:r w:rsidRPr="009E1C66">
        <w:rPr>
          <w:rFonts w:ascii="宋体" w:eastAsia="宋体" w:hAnsi="Times New Roman" w:hint="eastAsia"/>
          <w:color w:val="000000"/>
        </w:rPr>
        <w:t>代表联席保荐人</w:t>
      </w:r>
      <w:r w:rsidRPr="009E1C66">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7259FFC5" w14:textId="77777777" w:rsidR="009E1C66" w:rsidRDefault="009E1C66" w:rsidP="009E1C66">
      <w:pPr>
        <w:pStyle w:val="af5"/>
        <w:numPr>
          <w:ilvl w:val="0"/>
          <w:numId w:val="11"/>
        </w:numPr>
        <w:spacing w:before="120"/>
        <w:ind w:left="690" w:hanging="240"/>
        <w:rPr>
          <w:rFonts w:ascii="宋体" w:eastAsia="宋体" w:hAnsi="Times New Roman"/>
          <w:color w:val="000000"/>
        </w:rPr>
      </w:pPr>
      <w:r w:rsidRPr="009E1C66">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w:t>
      </w:r>
      <w:r w:rsidRPr="009E1C66">
        <w:rPr>
          <w:rFonts w:ascii="宋体" w:eastAsia="宋体" w:hAnsi="Times New Roman"/>
          <w:color w:val="000000"/>
        </w:rPr>
        <w:t>2亿美元的全球发售</w:t>
      </w:r>
    </w:p>
    <w:p w14:paraId="0B4DB70C" w14:textId="77777777" w:rsidR="009E1C66" w:rsidRDefault="009E1C66" w:rsidP="009E1C66">
      <w:pPr>
        <w:pStyle w:val="af5"/>
        <w:numPr>
          <w:ilvl w:val="0"/>
          <w:numId w:val="12"/>
        </w:numPr>
        <w:spacing w:before="120"/>
        <w:ind w:left="690" w:hanging="240"/>
        <w:rPr>
          <w:rFonts w:ascii="宋体" w:eastAsia="宋体" w:hAnsi="Times New Roman"/>
          <w:color w:val="000000"/>
        </w:rPr>
      </w:pPr>
      <w:r w:rsidRPr="009E1C66">
        <w:rPr>
          <w:rFonts w:ascii="宋体" w:eastAsia="宋体" w:hAnsi="Times New Roman" w:hint="eastAsia"/>
          <w:color w:val="000000"/>
        </w:rPr>
        <w:t>作为联席保荐人和全球联席协调人的花旗和建银国际金融经办中国科培教育集团</w:t>
      </w:r>
      <w:r w:rsidRPr="009E1C66">
        <w:rPr>
          <w:rFonts w:ascii="宋体" w:eastAsia="宋体" w:hAnsi="Times New Roman"/>
          <w:color w:val="000000"/>
        </w:rPr>
        <w:t>1.13亿美元的全球发行以及在香港联交所的首次公开发行</w:t>
      </w:r>
    </w:p>
    <w:p w14:paraId="792A90A7" w14:textId="77777777" w:rsidR="009E1C66" w:rsidRDefault="009E1C66" w:rsidP="009E1C66">
      <w:pPr>
        <w:pStyle w:val="af5"/>
        <w:numPr>
          <w:ilvl w:val="0"/>
          <w:numId w:val="13"/>
        </w:numPr>
        <w:spacing w:before="120"/>
        <w:ind w:left="690" w:hanging="240"/>
        <w:rPr>
          <w:rFonts w:ascii="宋体" w:eastAsia="宋体" w:hAnsi="Times New Roman"/>
          <w:color w:val="000000"/>
        </w:rPr>
      </w:pPr>
      <w:r w:rsidRPr="009E1C66">
        <w:rPr>
          <w:rFonts w:ascii="宋体" w:eastAsia="宋体" w:hAnsi="Times New Roman" w:hint="eastAsia"/>
          <w:color w:val="000000"/>
        </w:rPr>
        <w:t>作为承销商高盛（亚洲）有限责任公司、中信里昂证券资本市场有限公司、</w:t>
      </w:r>
      <w:r w:rsidRPr="009E1C66">
        <w:rPr>
          <w:rFonts w:ascii="宋体" w:eastAsia="宋体" w:hAnsi="Times New Roman"/>
          <w:color w:val="000000"/>
        </w:rPr>
        <w:t>UBS AG香港分行及国泰君安证券（香港）有限公司经办华领医药在香港联交所主板的9亿港元全球发行，这是香港首个第18A章的首次公开发行之一</w:t>
      </w:r>
    </w:p>
    <w:p w14:paraId="7AE1266B" w14:textId="77777777" w:rsidR="009E1C66" w:rsidRDefault="009E1C66" w:rsidP="009E1C66">
      <w:pPr>
        <w:pStyle w:val="af5"/>
        <w:numPr>
          <w:ilvl w:val="0"/>
          <w:numId w:val="14"/>
        </w:numPr>
        <w:spacing w:before="120"/>
        <w:ind w:left="690" w:hanging="240"/>
        <w:rPr>
          <w:rFonts w:ascii="宋体" w:eastAsia="宋体" w:hAnsi="Times New Roman"/>
          <w:color w:val="000000"/>
        </w:rPr>
      </w:pPr>
      <w:r w:rsidRPr="009E1C66">
        <w:rPr>
          <w:rFonts w:ascii="宋体" w:eastAsia="宋体" w:hAnsi="Times New Roman" w:hint="eastAsia"/>
          <w:color w:val="000000"/>
        </w:rPr>
        <w:t>代表雅各臣科研制药有限公司（一家领先的香港制药公司）的全球发行以及在香港联交所主板的首次公开发行</w:t>
      </w:r>
    </w:p>
    <w:p w14:paraId="10AA3394" w14:textId="77777777" w:rsidR="009E1C66" w:rsidRDefault="009E1C66" w:rsidP="009E1C66">
      <w:pPr>
        <w:pStyle w:val="af5"/>
        <w:numPr>
          <w:ilvl w:val="0"/>
          <w:numId w:val="15"/>
        </w:numPr>
        <w:spacing w:before="120"/>
        <w:ind w:left="690" w:hanging="240"/>
        <w:rPr>
          <w:rFonts w:ascii="宋体" w:eastAsia="宋体" w:hAnsi="Times New Roman"/>
          <w:color w:val="000000"/>
        </w:rPr>
      </w:pPr>
      <w:r w:rsidRPr="009E1C66">
        <w:rPr>
          <w:rFonts w:ascii="宋体" w:eastAsia="宋体" w:hAnsi="Times New Roman" w:hint="eastAsia"/>
          <w:color w:val="000000"/>
        </w:rPr>
        <w:t>代表天立教育国际控股有限公司在香港联交所主板约</w:t>
      </w:r>
      <w:r w:rsidRPr="009E1C66">
        <w:rPr>
          <w:rFonts w:ascii="宋体" w:eastAsia="宋体" w:hAnsi="Times New Roman"/>
          <w:color w:val="000000"/>
        </w:rPr>
        <w:t>17.3亿港元（2.2亿美元）股份的全球发售及首次公开发行</w:t>
      </w:r>
    </w:p>
    <w:p w14:paraId="26534B14" w14:textId="77777777" w:rsidR="009E1C66" w:rsidRDefault="009E1C66" w:rsidP="009E1C66">
      <w:pPr>
        <w:pStyle w:val="af5"/>
        <w:numPr>
          <w:ilvl w:val="0"/>
          <w:numId w:val="16"/>
        </w:numPr>
        <w:spacing w:before="120"/>
        <w:ind w:left="690" w:hanging="240"/>
        <w:rPr>
          <w:rFonts w:ascii="宋体" w:eastAsia="宋体" w:hAnsi="Times New Roman"/>
          <w:color w:val="000000"/>
        </w:rPr>
      </w:pPr>
      <w:r w:rsidRPr="009E1C66">
        <w:rPr>
          <w:rFonts w:ascii="宋体" w:eastAsia="宋体" w:hAnsi="Times New Roman" w:hint="eastAsia"/>
          <w:color w:val="000000"/>
        </w:rPr>
        <w:t>作为保荐人的美银美林和摩根士丹利经办达利食品集团有限公司在香港联交所主板约</w:t>
      </w:r>
      <w:r w:rsidRPr="009E1C66">
        <w:rPr>
          <w:rFonts w:ascii="宋体" w:eastAsia="宋体" w:hAnsi="Times New Roman"/>
          <w:color w:val="000000"/>
        </w:rPr>
        <w:t>11.5亿美元（在行使超额配售权之前）的首次公开发行</w:t>
      </w:r>
    </w:p>
    <w:p w14:paraId="1E613229" w14:textId="77777777" w:rsidR="009E1C66" w:rsidRDefault="009E1C66" w:rsidP="009E1C66">
      <w:pPr>
        <w:pStyle w:val="af5"/>
        <w:numPr>
          <w:ilvl w:val="0"/>
          <w:numId w:val="17"/>
        </w:numPr>
        <w:spacing w:before="120"/>
        <w:ind w:left="690" w:hanging="240"/>
        <w:rPr>
          <w:rFonts w:ascii="宋体" w:eastAsia="宋体" w:hAnsi="Times New Roman"/>
          <w:color w:val="000000"/>
        </w:rPr>
      </w:pPr>
      <w:r w:rsidRPr="009E1C66">
        <w:rPr>
          <w:rFonts w:ascii="宋体" w:eastAsia="宋体" w:hAnsi="Times New Roman" w:hint="eastAsia"/>
          <w:color w:val="000000"/>
        </w:rPr>
        <w:t>作为全球联席保荐人、全球联席协调人及联席牵头管理人的花旗环球金融亚洲有限公司、中信里昂证券资本市场有限公司及里昂证券有限公司经办温州康宁医院股份有限公司在香港联交所主板</w:t>
      </w:r>
      <w:r w:rsidRPr="009E1C66">
        <w:rPr>
          <w:rFonts w:ascii="宋体" w:eastAsia="宋体" w:hAnsi="Times New Roman"/>
          <w:color w:val="000000"/>
        </w:rPr>
        <w:t>8800万美元的H股首次公开发行</w:t>
      </w:r>
    </w:p>
    <w:p w14:paraId="1F826DCB" w14:textId="77777777" w:rsidR="009E1C66" w:rsidRDefault="009E1C66" w:rsidP="009E1C66">
      <w:pPr>
        <w:pStyle w:val="af5"/>
        <w:numPr>
          <w:ilvl w:val="0"/>
          <w:numId w:val="18"/>
        </w:numPr>
        <w:spacing w:before="120"/>
        <w:ind w:left="690" w:hanging="240"/>
        <w:rPr>
          <w:rFonts w:ascii="宋体" w:eastAsia="宋体" w:hAnsi="Times New Roman"/>
          <w:color w:val="000000"/>
        </w:rPr>
      </w:pPr>
      <w:r w:rsidRPr="009E1C66">
        <w:rPr>
          <w:rFonts w:ascii="宋体" w:eastAsia="宋体" w:hAnsi="Times New Roman" w:hint="eastAsia"/>
          <w:color w:val="000000"/>
        </w:rPr>
        <w:t>作为承销商的摩根士丹利、高盛及中国国际金融公司经办</w:t>
      </w:r>
      <w:r w:rsidRPr="009E1C66">
        <w:rPr>
          <w:rFonts w:ascii="宋体" w:eastAsia="宋体" w:hAnsi="Times New Roman"/>
          <w:color w:val="000000"/>
        </w:rPr>
        <w:t>IMAX中国控股公司（IMAX公司的子公司）在香港联交所主板市场约2.48亿美元首次公开发行及股份全球发售的事宜</w:t>
      </w:r>
    </w:p>
    <w:p w14:paraId="46FBB542" w14:textId="77777777" w:rsidR="009E1C66" w:rsidRDefault="009E1C66" w:rsidP="009E1C66">
      <w:pPr>
        <w:pStyle w:val="af5"/>
        <w:numPr>
          <w:ilvl w:val="0"/>
          <w:numId w:val="19"/>
        </w:numPr>
        <w:spacing w:before="120"/>
        <w:ind w:left="690" w:hanging="240"/>
        <w:rPr>
          <w:rFonts w:ascii="宋体" w:eastAsia="宋体" w:hAnsi="Times New Roman"/>
          <w:color w:val="000000"/>
        </w:rPr>
      </w:pPr>
      <w:r w:rsidRPr="009E1C66">
        <w:rPr>
          <w:rFonts w:ascii="宋体" w:eastAsia="宋体" w:hAnsi="Times New Roman" w:hint="eastAsia"/>
          <w:color w:val="000000"/>
        </w:rPr>
        <w:t>和美医疗控股有限公司（一家私立妇产科专科医院集团）经办</w:t>
      </w:r>
      <w:r w:rsidRPr="009E1C66">
        <w:rPr>
          <w:rFonts w:ascii="宋体" w:eastAsia="宋体" w:hAnsi="Times New Roman"/>
          <w:color w:val="000000"/>
        </w:rPr>
        <w:t>2.051亿美元（合15.9亿港元）的全球发行以及在香港联交所主板的首次公开发行</w:t>
      </w:r>
    </w:p>
    <w:p w14:paraId="18484266" w14:textId="77777777" w:rsidR="009E1C66" w:rsidRDefault="009E1C66" w:rsidP="009E1C66">
      <w:pPr>
        <w:pStyle w:val="af5"/>
        <w:numPr>
          <w:ilvl w:val="0"/>
          <w:numId w:val="20"/>
        </w:numPr>
        <w:spacing w:before="120"/>
        <w:ind w:left="690" w:hanging="240"/>
        <w:rPr>
          <w:rFonts w:ascii="宋体" w:eastAsia="宋体" w:hAnsi="Times New Roman"/>
          <w:color w:val="000000"/>
        </w:rPr>
      </w:pPr>
      <w:r w:rsidRPr="009E1C66">
        <w:rPr>
          <w:rFonts w:ascii="宋体" w:eastAsia="宋体" w:hAnsi="Times New Roman" w:hint="eastAsia"/>
          <w:color w:val="000000"/>
        </w:rPr>
        <w:t>中国广核电力股份有限公司（中国最大型核能发电企业）经办</w:t>
      </w:r>
      <w:r w:rsidRPr="009E1C66">
        <w:rPr>
          <w:rFonts w:ascii="宋体" w:eastAsia="宋体" w:hAnsi="Times New Roman"/>
          <w:color w:val="000000"/>
        </w:rPr>
        <w:t>32亿美元（按超额配股权悉数行使后计算为36亿美元）在香港联交所主板首次公开发行及全球发售事宜</w:t>
      </w:r>
    </w:p>
    <w:p w14:paraId="7846AB7D" w14:textId="77777777" w:rsidR="009E1C66" w:rsidRDefault="009E1C66" w:rsidP="009E1C66">
      <w:pPr>
        <w:pStyle w:val="af5"/>
        <w:numPr>
          <w:ilvl w:val="0"/>
          <w:numId w:val="21"/>
        </w:numPr>
        <w:spacing w:before="120"/>
        <w:ind w:left="690" w:hanging="240"/>
        <w:rPr>
          <w:rFonts w:ascii="宋体" w:eastAsia="宋体" w:hAnsi="Times New Roman"/>
          <w:color w:val="000000"/>
        </w:rPr>
      </w:pPr>
      <w:r w:rsidRPr="009E1C66">
        <w:rPr>
          <w:rFonts w:ascii="宋体" w:eastAsia="宋体" w:hAnsi="Times New Roman" w:hint="eastAsia"/>
          <w:color w:val="000000"/>
        </w:rPr>
        <w:t>代表福寿园国际集团有限公司（中国的一家殡葬服务提供商）经办</w:t>
      </w:r>
      <w:r w:rsidRPr="009E1C66">
        <w:rPr>
          <w:rFonts w:ascii="宋体" w:eastAsia="宋体" w:hAnsi="Times New Roman"/>
          <w:color w:val="000000"/>
        </w:rPr>
        <w:t>2.15亿美元在香港联交所主板的首次公开发行及普通股的全球发售事宜</w:t>
      </w:r>
    </w:p>
    <w:p w14:paraId="7ACC09F2" w14:textId="77777777" w:rsidR="009E1C66" w:rsidRDefault="009E1C66" w:rsidP="009E1C66">
      <w:pPr>
        <w:pStyle w:val="af5"/>
        <w:numPr>
          <w:ilvl w:val="0"/>
          <w:numId w:val="22"/>
        </w:numPr>
        <w:spacing w:before="120"/>
        <w:ind w:left="690" w:hanging="240"/>
        <w:rPr>
          <w:rFonts w:ascii="宋体" w:eastAsia="宋体" w:hAnsi="Times New Roman"/>
          <w:color w:val="000000"/>
        </w:rPr>
      </w:pPr>
      <w:r w:rsidRPr="009E1C66">
        <w:rPr>
          <w:rFonts w:ascii="宋体" w:eastAsia="宋体" w:hAnsi="Times New Roman" w:hint="eastAsia"/>
          <w:color w:val="000000"/>
        </w:rPr>
        <w:t>代表新城发展控股（一家中国的房地产开发商）经办在香港</w:t>
      </w:r>
      <w:r w:rsidRPr="009E1C66">
        <w:rPr>
          <w:rFonts w:ascii="宋体" w:eastAsia="宋体" w:hAnsi="Times New Roman"/>
          <w:color w:val="000000"/>
        </w:rPr>
        <w:t>20.6亿港币（2.65亿美元）的首次公开募股</w:t>
      </w:r>
    </w:p>
    <w:p w14:paraId="2494CD41" w14:textId="77777777" w:rsidR="009E1C66" w:rsidRDefault="009E1C66" w:rsidP="009E1C66">
      <w:pPr>
        <w:pStyle w:val="af5"/>
        <w:numPr>
          <w:ilvl w:val="0"/>
          <w:numId w:val="23"/>
        </w:numPr>
        <w:spacing w:before="120"/>
        <w:ind w:left="690" w:hanging="240"/>
        <w:rPr>
          <w:rFonts w:ascii="宋体" w:eastAsia="宋体" w:hAnsi="Times New Roman"/>
          <w:color w:val="000000"/>
        </w:rPr>
      </w:pPr>
      <w:r w:rsidRPr="009E1C66">
        <w:rPr>
          <w:rFonts w:ascii="宋体" w:eastAsia="宋体" w:hAnsi="Times New Roman" w:hint="eastAsia"/>
          <w:color w:val="000000"/>
        </w:rPr>
        <w:t>纳斯达克上市的新濠博亚娱乐有限公司经办其以介绍形式在香港联交所主板取得两地首次公开发行的地位，发起人为瑞士信贷和德意志银行</w:t>
      </w:r>
    </w:p>
    <w:p w14:paraId="7CF758C4" w14:textId="77777777" w:rsidR="009E1C66" w:rsidRDefault="009E1C66" w:rsidP="009E1C66">
      <w:pPr>
        <w:pStyle w:val="af5"/>
        <w:numPr>
          <w:ilvl w:val="0"/>
          <w:numId w:val="24"/>
        </w:numPr>
        <w:spacing w:before="120"/>
        <w:ind w:left="690" w:hanging="240"/>
        <w:rPr>
          <w:rFonts w:ascii="宋体" w:eastAsia="宋体" w:hAnsi="Times New Roman"/>
          <w:color w:val="000000"/>
        </w:rPr>
      </w:pPr>
      <w:r w:rsidRPr="009E1C66">
        <w:rPr>
          <w:rFonts w:ascii="宋体" w:eastAsia="宋体" w:hAnsi="Times New Roman" w:hint="eastAsia"/>
          <w:color w:val="000000"/>
        </w:rPr>
        <w:t>由中国国际金融有限公司、高盛、摩根大通、摩根士丹利、中银国际及瑞信牵头的承销商经办长沙中联重工科技发展股份有限公司根据</w:t>
      </w:r>
      <w:r w:rsidRPr="009E1C66">
        <w:rPr>
          <w:rFonts w:ascii="宋体" w:eastAsia="宋体" w:hAnsi="Times New Roman"/>
          <w:color w:val="000000"/>
        </w:rPr>
        <w:t>144A规则／S条例进行的17亿美元的的全球发售及其股票在香港联交所主板上市</w:t>
      </w:r>
    </w:p>
    <w:p w14:paraId="6969D09F" w14:textId="77777777" w:rsidR="009E1C66" w:rsidRDefault="009E1C66" w:rsidP="009E1C66">
      <w:pPr>
        <w:pStyle w:val="af5"/>
        <w:numPr>
          <w:ilvl w:val="0"/>
          <w:numId w:val="25"/>
        </w:numPr>
        <w:spacing w:before="120"/>
        <w:ind w:left="690" w:hanging="240"/>
        <w:rPr>
          <w:rFonts w:ascii="宋体" w:eastAsia="宋体" w:hAnsi="Times New Roman"/>
          <w:color w:val="000000"/>
        </w:rPr>
      </w:pPr>
      <w:r w:rsidRPr="009E1C66">
        <w:rPr>
          <w:rFonts w:ascii="宋体" w:eastAsia="宋体" w:hAnsi="Times New Roman" w:hint="eastAsia"/>
          <w:color w:val="000000"/>
        </w:rPr>
        <w:t>作为联席保荐人的摩根士丹利和瑞银经办四环医药控股集团有限公司</w:t>
      </w:r>
      <w:r w:rsidRPr="009E1C66">
        <w:rPr>
          <w:rFonts w:ascii="宋体" w:eastAsia="宋体" w:hAnsi="Times New Roman"/>
          <w:color w:val="000000"/>
        </w:rPr>
        <w:t>8.5亿美元的香港联交所股份首次公开发行</w:t>
      </w:r>
    </w:p>
    <w:p w14:paraId="4160EAE0" w14:textId="77777777" w:rsidR="009E1C66" w:rsidRDefault="009E1C66" w:rsidP="009E1C66">
      <w:pPr>
        <w:pStyle w:val="af5"/>
        <w:numPr>
          <w:ilvl w:val="0"/>
          <w:numId w:val="26"/>
        </w:numPr>
        <w:spacing w:before="120"/>
        <w:ind w:left="690" w:hanging="240"/>
        <w:rPr>
          <w:rFonts w:ascii="宋体" w:eastAsia="宋体" w:hAnsi="Times New Roman"/>
          <w:color w:val="000000"/>
        </w:rPr>
      </w:pPr>
      <w:r w:rsidRPr="009E1C66">
        <w:rPr>
          <w:rFonts w:ascii="宋体" w:eastAsia="宋体" w:hAnsi="Times New Roman" w:hint="eastAsia"/>
          <w:color w:val="000000"/>
        </w:rPr>
        <w:t>麦达斯控股（一家在新加坡注册成立的公司）经办在香港联交所第二上市的事宜。该公司是中国铁路客运领域铝合金挤压制品的主要制造商。该交易通过香港公开发行和国际发售方式募集约</w:t>
      </w:r>
      <w:r w:rsidRPr="009E1C66">
        <w:rPr>
          <w:rFonts w:ascii="宋体" w:eastAsia="宋体" w:hAnsi="Times New Roman"/>
          <w:color w:val="000000"/>
        </w:rPr>
        <w:t>11.7亿港元的资金（在行使超额配售权之前）</w:t>
      </w:r>
    </w:p>
    <w:p w14:paraId="440EFABC" w14:textId="77777777" w:rsidR="009E1C66" w:rsidRDefault="009E1C66" w:rsidP="009E1C66">
      <w:pPr>
        <w:pStyle w:val="af5"/>
        <w:spacing w:before="120"/>
        <w:rPr>
          <w:rFonts w:ascii="宋体" w:eastAsia="宋体" w:hAnsi="Times New Roman"/>
          <w:color w:val="000000"/>
        </w:rPr>
      </w:pPr>
      <w:r w:rsidRPr="009E1C66">
        <w:rPr>
          <w:rFonts w:ascii="宋体" w:eastAsia="宋体" w:hAnsi="Times New Roman" w:hint="eastAsia"/>
          <w:color w:val="000000"/>
        </w:rPr>
        <w:t>并购</w:t>
      </w:r>
    </w:p>
    <w:p w14:paraId="78E9760B" w14:textId="77777777" w:rsidR="009E1C66" w:rsidRDefault="009E1C66" w:rsidP="009E1C66">
      <w:pPr>
        <w:pStyle w:val="af5"/>
        <w:numPr>
          <w:ilvl w:val="0"/>
          <w:numId w:val="27"/>
        </w:numPr>
        <w:spacing w:before="120"/>
        <w:ind w:left="690" w:hanging="240"/>
        <w:rPr>
          <w:rFonts w:ascii="宋体" w:eastAsia="宋体" w:hAnsi="Times New Roman"/>
          <w:color w:val="000000"/>
        </w:rPr>
      </w:pPr>
      <w:r w:rsidRPr="009E1C66">
        <w:rPr>
          <w:rFonts w:ascii="宋体" w:eastAsia="宋体" w:hAnsi="Times New Roman" w:hint="eastAsia"/>
          <w:color w:val="000000"/>
        </w:rPr>
        <w:t>代表法国兴业银行（</w:t>
      </w:r>
      <w:r w:rsidRPr="009E1C66">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08FFBD55" w14:textId="77777777" w:rsidR="009E1C66" w:rsidRDefault="009E1C66" w:rsidP="009E1C66">
      <w:pPr>
        <w:pStyle w:val="af5"/>
        <w:numPr>
          <w:ilvl w:val="0"/>
          <w:numId w:val="28"/>
        </w:numPr>
        <w:spacing w:before="120"/>
        <w:ind w:left="690" w:hanging="240"/>
        <w:rPr>
          <w:rFonts w:ascii="宋体" w:eastAsia="宋体" w:hAnsi="Times New Roman"/>
          <w:color w:val="000000"/>
        </w:rPr>
      </w:pPr>
      <w:r w:rsidRPr="009E1C66">
        <w:rPr>
          <w:rFonts w:ascii="宋体" w:eastAsia="宋体" w:hAnsi="Times New Roman" w:hint="eastAsia"/>
          <w:color w:val="000000"/>
        </w:rPr>
        <w:t>向苏伊士就其与</w:t>
      </w:r>
      <w:r w:rsidRPr="009E1C66">
        <w:rPr>
          <w:rFonts w:ascii="宋体" w:eastAsia="宋体" w:hAnsi="Times New Roman"/>
          <w:color w:val="000000"/>
        </w:rPr>
        <w:t>Veolia的合并提供法律意见，该合并为苏伊士提供了130亿欧元的隐含价值。我们工作涵盖了亚洲地区，包括香港、中国、台湾、澳门、新加坡、马来西亚、泰国、印尼、菲律宾及越南</w:t>
      </w:r>
    </w:p>
    <w:p w14:paraId="19AF11F2" w14:textId="77777777" w:rsidR="009E1C66" w:rsidRDefault="009E1C66" w:rsidP="009E1C66">
      <w:pPr>
        <w:pStyle w:val="af5"/>
        <w:numPr>
          <w:ilvl w:val="0"/>
          <w:numId w:val="29"/>
        </w:numPr>
        <w:spacing w:before="120"/>
        <w:ind w:left="690" w:hanging="240"/>
        <w:rPr>
          <w:rFonts w:ascii="宋体" w:eastAsia="宋体" w:hAnsi="Times New Roman"/>
          <w:color w:val="000000"/>
        </w:rPr>
      </w:pPr>
      <w:r w:rsidRPr="009E1C66">
        <w:rPr>
          <w:rFonts w:ascii="宋体" w:eastAsia="宋体" w:hAnsi="Times New Roman" w:hint="eastAsia"/>
          <w:color w:val="000000"/>
        </w:rPr>
        <w:t>向苏伊士（亚洲）有限公司就其以</w:t>
      </w:r>
      <w:r w:rsidRPr="009E1C66">
        <w:rPr>
          <w:rFonts w:ascii="宋体" w:eastAsia="宋体" w:hAnsi="Times New Roman"/>
          <w:color w:val="000000"/>
        </w:rPr>
        <w:t>65.33亿港元收购新创建集团有限公司（港交所股份代号：659）在大中华地区合资企业的股权提供法律意见，该合资企业在30多个城市经营70多个水质及废物处理项目</w:t>
      </w:r>
    </w:p>
    <w:p w14:paraId="39A54B6E" w14:textId="77777777" w:rsidR="009E1C66" w:rsidRDefault="009E1C66" w:rsidP="009E1C66">
      <w:pPr>
        <w:pStyle w:val="af5"/>
        <w:numPr>
          <w:ilvl w:val="0"/>
          <w:numId w:val="30"/>
        </w:numPr>
        <w:spacing w:before="120"/>
        <w:ind w:left="690" w:hanging="240"/>
        <w:rPr>
          <w:rFonts w:ascii="宋体" w:eastAsia="宋体" w:hAnsi="Times New Roman"/>
          <w:color w:val="000000"/>
        </w:rPr>
      </w:pPr>
      <w:r w:rsidRPr="009E1C66">
        <w:rPr>
          <w:rFonts w:ascii="宋体" w:eastAsia="宋体" w:hAnsi="Times New Roman" w:hint="eastAsia"/>
          <w:color w:val="000000"/>
        </w:rPr>
        <w:t>代表荷兰皇家菲仕兰向伊利（上交所股份代号：</w:t>
      </w:r>
      <w:r w:rsidRPr="009E1C66">
        <w:rPr>
          <w:rFonts w:ascii="宋体" w:eastAsia="宋体" w:hAnsi="Times New Roman"/>
          <w:color w:val="000000"/>
        </w:rPr>
        <w:t>600887）出售其在一家中国公司的股权（包括一个生产基地），该出售总值超过人民币3.8亿元 ; 及经办其内部重组计划，为其架构重组及提供法律意见</w:t>
      </w:r>
    </w:p>
    <w:p w14:paraId="509E6B60" w14:textId="77777777" w:rsidR="009E1C66" w:rsidRDefault="009E1C66" w:rsidP="009E1C66">
      <w:pPr>
        <w:pStyle w:val="af5"/>
        <w:numPr>
          <w:ilvl w:val="0"/>
          <w:numId w:val="31"/>
        </w:numPr>
        <w:spacing w:before="120"/>
        <w:ind w:left="690" w:hanging="240"/>
        <w:rPr>
          <w:rFonts w:ascii="宋体" w:eastAsia="宋体" w:hAnsi="Times New Roman"/>
          <w:color w:val="000000"/>
        </w:rPr>
      </w:pPr>
      <w:r w:rsidRPr="009E1C66">
        <w:rPr>
          <w:rFonts w:ascii="宋体" w:eastAsia="宋体" w:hAnsi="Times New Roman" w:hint="eastAsia"/>
          <w:color w:val="000000"/>
        </w:rPr>
        <w:t>向</w:t>
      </w:r>
      <w:r w:rsidRPr="009E1C66">
        <w:rPr>
          <w:rFonts w:ascii="宋体" w:eastAsia="宋体" w:hAnsi="Times New Roman"/>
          <w:color w:val="000000"/>
        </w:rPr>
        <w:t>TCL集团主席于2020年就TCL集团进行涉及TCL集团（深交所股份代号：100）、TCL电子控股有限公司（港交所股份代号︰1070）和通力电子控股有限公司（港交所股份代号：1249）的重组对全面要约、一致行动、利害关系披露、董事职责产生的影响提供法律意见，重组导致由主席、苏宁易购集团股份有限公司、小米科技有限责任公司等拥有的T.C.L.实业控股（香港）有限公司发起全面要约，以40亿港元收购TCL电子控股有限公司的股份及以10亿港元收购通力电子控股有限公司的股份</w:t>
      </w:r>
    </w:p>
    <w:p w14:paraId="478C0646" w14:textId="77777777" w:rsidR="009E1C66" w:rsidRDefault="009E1C66" w:rsidP="009E1C66">
      <w:pPr>
        <w:pStyle w:val="af5"/>
        <w:numPr>
          <w:ilvl w:val="0"/>
          <w:numId w:val="32"/>
        </w:numPr>
        <w:spacing w:before="120"/>
        <w:ind w:left="690" w:hanging="240"/>
        <w:rPr>
          <w:rFonts w:ascii="宋体" w:eastAsia="宋体" w:hAnsi="Times New Roman"/>
          <w:color w:val="000000"/>
        </w:rPr>
      </w:pPr>
      <w:r w:rsidRPr="009E1C66">
        <w:rPr>
          <w:rFonts w:ascii="宋体" w:eastAsia="宋体" w:hAnsi="Times New Roman" w:hint="eastAsia"/>
          <w:color w:val="000000"/>
        </w:rPr>
        <w:t>代表中国华能集团就其拟收购协鑫新能源（港交所股份代号：</w:t>
      </w:r>
      <w:r w:rsidRPr="009E1C66">
        <w:rPr>
          <w:rFonts w:ascii="宋体" w:eastAsia="宋体" w:hAnsi="Times New Roman"/>
          <w:color w:val="000000"/>
        </w:rPr>
        <w:t>451）提供法律意见，包括拟收购所引发的潜在强制要约义务</w:t>
      </w:r>
    </w:p>
    <w:p w14:paraId="0166E70D" w14:textId="77777777" w:rsidR="009E1C66" w:rsidRDefault="009E1C66" w:rsidP="009E1C66">
      <w:pPr>
        <w:pStyle w:val="af5"/>
        <w:numPr>
          <w:ilvl w:val="0"/>
          <w:numId w:val="33"/>
        </w:numPr>
        <w:spacing w:before="120"/>
        <w:ind w:left="690" w:hanging="240"/>
        <w:rPr>
          <w:rFonts w:ascii="宋体" w:eastAsia="宋体" w:hAnsi="Times New Roman"/>
          <w:color w:val="000000"/>
        </w:rPr>
      </w:pPr>
      <w:r w:rsidRPr="009E1C66">
        <w:rPr>
          <w:rFonts w:ascii="宋体" w:eastAsia="宋体" w:hAnsi="Times New Roman" w:hint="eastAsia"/>
          <w:color w:val="000000"/>
        </w:rPr>
        <w:t>代表博裕投资完成了</w:t>
      </w:r>
      <w:r w:rsidRPr="009E1C66">
        <w:rPr>
          <w:rFonts w:ascii="宋体" w:eastAsia="宋体" w:hAnsi="Times New Roman"/>
          <w:color w:val="000000"/>
        </w:rPr>
        <w:t>(i)向金科服务的控股股东金科地产集团股份有限公司（</w:t>
      </w:r>
      <w:r w:rsidRPr="009E1C66">
        <w:rPr>
          <w:rFonts w:ascii="宋体" w:eastAsia="宋体" w:hAnsi="Times New Roman"/>
          <w:color w:val="000000"/>
        </w:rPr>
        <w:t>“</w:t>
      </w:r>
      <w:r w:rsidRPr="009E1C66">
        <w:rPr>
          <w:rFonts w:ascii="宋体" w:eastAsia="宋体" w:hAnsi="Times New Roman"/>
          <w:color w:val="000000"/>
        </w:rPr>
        <w:t>金科地产</w:t>
      </w:r>
      <w:r w:rsidRPr="009E1C66">
        <w:rPr>
          <w:rFonts w:ascii="宋体" w:eastAsia="宋体" w:hAnsi="Times New Roman"/>
          <w:color w:val="000000"/>
        </w:rPr>
        <w:t>”</w:t>
      </w:r>
      <w:r w:rsidRPr="009E1C66">
        <w:rPr>
          <w:rFonts w:ascii="宋体" w:eastAsia="宋体" w:hAnsi="Times New Roman"/>
          <w:color w:val="000000"/>
        </w:rPr>
        <w:t>, 深交所股份代号：656）收购其所持金科智慧服务集团股份有限公司（港交所股份代号： 9666）22%已发行股份股份的战略投资, 转让价款约37.34亿港元; 及(ii)向金科地产子公司提供了一笔1.568亿美元的贷款</w:t>
      </w:r>
    </w:p>
    <w:p w14:paraId="355C0ACF" w14:textId="77777777" w:rsidR="009E1C66" w:rsidRDefault="009E1C66" w:rsidP="009E1C66">
      <w:pPr>
        <w:pStyle w:val="af5"/>
        <w:numPr>
          <w:ilvl w:val="0"/>
          <w:numId w:val="34"/>
        </w:numPr>
        <w:spacing w:before="120"/>
        <w:ind w:left="690" w:hanging="240"/>
        <w:rPr>
          <w:rFonts w:ascii="宋体" w:eastAsia="宋体" w:hAnsi="Times New Roman"/>
          <w:color w:val="000000"/>
        </w:rPr>
      </w:pPr>
      <w:r w:rsidRPr="009E1C66">
        <w:rPr>
          <w:rFonts w:ascii="宋体" w:eastAsia="宋体" w:hAnsi="Times New Roman" w:hint="eastAsia"/>
          <w:color w:val="000000"/>
        </w:rPr>
        <w:t>代表马蚁、</w:t>
      </w:r>
      <w:r w:rsidRPr="009E1C66">
        <w:rPr>
          <w:rFonts w:ascii="宋体" w:eastAsia="宋体" w:hAnsi="Times New Roman"/>
          <w:color w:val="000000"/>
        </w:rPr>
        <w:t>JC Decaux 组成的财团要约收购白马户外媒体有限公司所有股份（港交所股份代号： 100），并负责收购银团融资。第一次以 5亿美元现金要约达到接受率 89%后，再次于2021 年宣布现金或股份要约，最后成功申办私有化</w:t>
      </w:r>
    </w:p>
    <w:p w14:paraId="08EDDC4C" w14:textId="77777777" w:rsidR="009E1C66" w:rsidRDefault="009E1C66" w:rsidP="009E1C66">
      <w:pPr>
        <w:pStyle w:val="af5"/>
        <w:numPr>
          <w:ilvl w:val="0"/>
          <w:numId w:val="35"/>
        </w:numPr>
        <w:spacing w:before="120"/>
        <w:ind w:left="690" w:hanging="240"/>
        <w:rPr>
          <w:rFonts w:ascii="宋体" w:eastAsia="宋体" w:hAnsi="Times New Roman"/>
          <w:color w:val="000000"/>
        </w:rPr>
      </w:pPr>
      <w:r w:rsidRPr="009E1C66">
        <w:rPr>
          <w:rFonts w:ascii="宋体" w:eastAsia="宋体" w:hAnsi="Times New Roman" w:hint="eastAsia"/>
          <w:color w:val="000000"/>
        </w:rPr>
        <w:t>代表要约人通过协议计划将协众国际控股有限公司（港交所股份代号：</w:t>
      </w:r>
      <w:r w:rsidRPr="009E1C66">
        <w:rPr>
          <w:rFonts w:ascii="宋体" w:eastAsia="宋体" w:hAnsi="Times New Roman"/>
          <w:color w:val="000000"/>
        </w:rPr>
        <w:t>3663）于2021年在香港联交所私有化和退市。本所成功为上市公司的一名非管理层战略股东通过存续协议成为要约人的股东，与另一名财务投资人作为联席要约人共同发起私有化计划</w:t>
      </w:r>
    </w:p>
    <w:p w14:paraId="0E60DDE8" w14:textId="77777777" w:rsidR="009E1C66" w:rsidRDefault="009E1C66" w:rsidP="009E1C66">
      <w:pPr>
        <w:pStyle w:val="af5"/>
        <w:numPr>
          <w:ilvl w:val="0"/>
          <w:numId w:val="36"/>
        </w:numPr>
        <w:spacing w:before="120"/>
        <w:ind w:left="690" w:hanging="240"/>
        <w:rPr>
          <w:rFonts w:ascii="宋体" w:eastAsia="宋体" w:hAnsi="Times New Roman"/>
          <w:color w:val="000000"/>
        </w:rPr>
      </w:pPr>
      <w:r w:rsidRPr="009E1C66">
        <w:rPr>
          <w:rFonts w:ascii="宋体" w:eastAsia="宋体" w:hAnsi="Times New Roman" w:hint="eastAsia"/>
          <w:color w:val="000000"/>
        </w:rPr>
        <w:t>代表软银愿景基金就其对京东物流股份有限公司（港交所股份代号：</w:t>
      </w:r>
      <w:r w:rsidRPr="009E1C66">
        <w:rPr>
          <w:rFonts w:ascii="宋体" w:eastAsia="宋体" w:hAnsi="Times New Roman"/>
          <w:color w:val="000000"/>
        </w:rPr>
        <w:t>2618）32亿美元的首次公开发行及香港交易所主板上市进行总额为6亿美元的基石投资提供法律意见</w:t>
      </w:r>
    </w:p>
    <w:p w14:paraId="688B0217" w14:textId="77777777" w:rsidR="009E1C66" w:rsidRDefault="009E1C66" w:rsidP="009E1C66">
      <w:pPr>
        <w:pStyle w:val="af5"/>
        <w:numPr>
          <w:ilvl w:val="0"/>
          <w:numId w:val="37"/>
        </w:numPr>
        <w:spacing w:before="120"/>
        <w:ind w:left="690" w:hanging="240"/>
        <w:rPr>
          <w:rFonts w:ascii="宋体" w:eastAsia="宋体" w:hAnsi="Times New Roman"/>
          <w:color w:val="000000"/>
        </w:rPr>
      </w:pPr>
      <w:r w:rsidRPr="009E1C66">
        <w:rPr>
          <w:rFonts w:ascii="宋体" w:eastAsia="宋体" w:hAnsi="Times New Roman" w:hint="eastAsia"/>
          <w:color w:val="000000"/>
        </w:rPr>
        <w:t>代表奥博资本参与兆科眼科药物有限公司（港交所股份代号：</w:t>
      </w:r>
      <w:r w:rsidRPr="009E1C66">
        <w:rPr>
          <w:rFonts w:ascii="宋体" w:eastAsia="宋体" w:hAnsi="Times New Roman"/>
          <w:color w:val="000000"/>
        </w:rPr>
        <w:t>6622）的B轮股权融资，交易总额为1250万美元。方达在此项交易中负责交易文件的起草和谈判</w:t>
      </w:r>
    </w:p>
    <w:p w14:paraId="27441D23" w14:textId="77777777" w:rsidR="009E1C66" w:rsidRDefault="009E1C66" w:rsidP="009E1C66">
      <w:pPr>
        <w:pStyle w:val="af5"/>
        <w:numPr>
          <w:ilvl w:val="0"/>
          <w:numId w:val="38"/>
        </w:numPr>
        <w:spacing w:before="120"/>
        <w:ind w:left="690" w:hanging="240"/>
        <w:rPr>
          <w:rFonts w:ascii="宋体" w:eastAsia="宋体" w:hAnsi="Times New Roman"/>
          <w:color w:val="000000"/>
        </w:rPr>
      </w:pPr>
      <w:r w:rsidRPr="009E1C66">
        <w:rPr>
          <w:rFonts w:ascii="宋体" w:eastAsia="宋体" w:hAnsi="Times New Roman" w:hint="eastAsia"/>
          <w:color w:val="000000"/>
        </w:rPr>
        <w:t>代表香港一家大型为医生和医疗相关机构提供诊断性化验测试提供商，柏立医学化验所有限公司，的创始人出售其多数股权给香港医思医疗集团有限公司（港交所股份代号：</w:t>
      </w:r>
      <w:r w:rsidRPr="009E1C66">
        <w:rPr>
          <w:rFonts w:ascii="宋体" w:eastAsia="宋体" w:hAnsi="Times New Roman"/>
          <w:color w:val="000000"/>
        </w:rPr>
        <w:t>2138），总隐含估值为4.5亿港元</w:t>
      </w:r>
    </w:p>
    <w:p w14:paraId="12F25391" w14:textId="77777777" w:rsidR="009E1C66" w:rsidRDefault="009E1C66" w:rsidP="009E1C66">
      <w:pPr>
        <w:pStyle w:val="af5"/>
        <w:numPr>
          <w:ilvl w:val="0"/>
          <w:numId w:val="39"/>
        </w:numPr>
        <w:spacing w:before="120"/>
        <w:ind w:left="690" w:hanging="240"/>
        <w:rPr>
          <w:rFonts w:ascii="宋体" w:eastAsia="宋体" w:hAnsi="Times New Roman"/>
          <w:color w:val="000000"/>
        </w:rPr>
      </w:pPr>
      <w:r w:rsidRPr="009E1C66">
        <w:rPr>
          <w:rFonts w:ascii="宋体" w:eastAsia="宋体" w:hAnsi="Times New Roman" w:hint="eastAsia"/>
          <w:color w:val="000000"/>
        </w:rPr>
        <w:t>代表华电福新能源股份有限公司（港交所股份代号：</w:t>
      </w:r>
      <w:r w:rsidRPr="009E1C66">
        <w:rPr>
          <w:rFonts w:ascii="宋体" w:eastAsia="宋体" w:hAnsi="Times New Roman"/>
          <w:color w:val="000000"/>
        </w:rPr>
        <w:t>816）以吸收合并方式接纳其控股股东的私有化计划及协助其建议撤销上市，于2020年底以总股份撤销价约83.5亿人民币成功下市</w:t>
      </w:r>
    </w:p>
    <w:p w14:paraId="66E4FFCF" w14:textId="77777777" w:rsidR="009E1C66" w:rsidRDefault="009E1C66" w:rsidP="009E1C66">
      <w:pPr>
        <w:pStyle w:val="af5"/>
        <w:numPr>
          <w:ilvl w:val="0"/>
          <w:numId w:val="40"/>
        </w:numPr>
        <w:spacing w:before="120"/>
        <w:ind w:left="690" w:hanging="240"/>
        <w:rPr>
          <w:rFonts w:ascii="宋体" w:eastAsia="宋体" w:hAnsi="Times New Roman"/>
          <w:color w:val="000000"/>
        </w:rPr>
      </w:pPr>
      <w:r w:rsidRPr="009E1C66">
        <w:rPr>
          <w:rFonts w:ascii="宋体" w:eastAsia="宋体" w:hAnsi="Times New Roman" w:hint="eastAsia"/>
          <w:color w:val="000000"/>
        </w:rPr>
        <w:t>于海尔电子（港交所股份代号：</w:t>
      </w:r>
      <w:r w:rsidRPr="009E1C66">
        <w:rPr>
          <w:rFonts w:ascii="宋体" w:eastAsia="宋体" w:hAnsi="Times New Roman"/>
          <w:color w:val="000000"/>
        </w:rPr>
        <w:t>1169 ）全股份私有化项目中，使用控股集团作为要约人刚落实申请 H股上市为要约对价，代表该上市公司以全股票对价方案接纳的私有化计划，再加上全购后只向公众股东加送现金红利，于2020年成功私有化和退市</w:t>
      </w:r>
    </w:p>
    <w:p w14:paraId="22571254" w14:textId="77777777" w:rsidR="009E1C66" w:rsidRDefault="009E1C66" w:rsidP="009E1C66">
      <w:pPr>
        <w:pStyle w:val="af5"/>
        <w:numPr>
          <w:ilvl w:val="0"/>
          <w:numId w:val="41"/>
        </w:numPr>
        <w:spacing w:before="120"/>
        <w:ind w:left="690" w:hanging="240"/>
        <w:rPr>
          <w:rFonts w:ascii="宋体" w:eastAsia="宋体" w:hAnsi="Times New Roman"/>
          <w:color w:val="000000"/>
        </w:rPr>
      </w:pPr>
      <w:r w:rsidRPr="009E1C66">
        <w:rPr>
          <w:rFonts w:ascii="宋体" w:eastAsia="宋体" w:hAnsi="Times New Roman" w:hint="eastAsia"/>
          <w:color w:val="000000"/>
        </w:rPr>
        <w:t>向</w:t>
      </w:r>
      <w:r w:rsidRPr="009E1C66">
        <w:rPr>
          <w:rFonts w:ascii="宋体" w:eastAsia="宋体" w:hAnsi="Times New Roman"/>
          <w:color w:val="000000"/>
        </w:rPr>
        <w:t>KKR Asian Fund III L.P. 就收购香港上市公司雷士照明控股有限公司（港交所股份代号：2222）持有的中国照明业务70％的权益提供法律意见，该交易的估值为7.94亿美元, 并能维持雷士上市地位</w:t>
      </w:r>
    </w:p>
    <w:p w14:paraId="005F797C" w14:textId="77777777" w:rsidR="009E1C66" w:rsidRDefault="009E1C66" w:rsidP="009E1C66">
      <w:pPr>
        <w:pStyle w:val="af5"/>
        <w:numPr>
          <w:ilvl w:val="0"/>
          <w:numId w:val="42"/>
        </w:numPr>
        <w:spacing w:before="120"/>
        <w:ind w:left="690" w:hanging="240"/>
        <w:rPr>
          <w:rFonts w:ascii="宋体" w:eastAsia="宋体" w:hAnsi="Times New Roman"/>
          <w:color w:val="000000"/>
        </w:rPr>
      </w:pPr>
      <w:r w:rsidRPr="009E1C66">
        <w:rPr>
          <w:rFonts w:ascii="宋体" w:eastAsia="宋体" w:hAnsi="Times New Roman" w:hint="eastAsia"/>
          <w:color w:val="000000"/>
        </w:rPr>
        <w:t>对合和实业有限公司（港交所股份代号</w:t>
      </w:r>
      <w:r w:rsidRPr="009E1C66">
        <w:rPr>
          <w:rFonts w:ascii="宋体" w:eastAsia="宋体" w:hAnsi="Times New Roman"/>
          <w:color w:val="000000"/>
        </w:rPr>
        <w:t>: 0054）私有化项目提供最大美资独立股东回应私有化的方案，参与关于不可撤回承诺的决定，与公司和香港证监会沟通相关证券及法规要求问题</w:t>
      </w:r>
    </w:p>
    <w:p w14:paraId="101DBC19" w14:textId="77777777" w:rsidR="009E1C66" w:rsidRDefault="009E1C66" w:rsidP="009E1C66">
      <w:pPr>
        <w:pStyle w:val="af5"/>
        <w:numPr>
          <w:ilvl w:val="0"/>
          <w:numId w:val="43"/>
        </w:numPr>
        <w:spacing w:before="120"/>
        <w:ind w:left="690" w:hanging="240"/>
        <w:rPr>
          <w:rFonts w:ascii="宋体" w:eastAsia="宋体" w:hAnsi="Times New Roman"/>
          <w:color w:val="000000"/>
        </w:rPr>
      </w:pPr>
      <w:r w:rsidRPr="009E1C66">
        <w:rPr>
          <w:rFonts w:ascii="宋体" w:eastAsia="宋体" w:hAnsi="Times New Roman" w:hint="eastAsia"/>
          <w:color w:val="000000"/>
        </w:rPr>
        <w:t>对哈尔滨电气股份有限公司（港交所股份代号</w:t>
      </w:r>
      <w:r w:rsidRPr="009E1C66">
        <w:rPr>
          <w:rFonts w:ascii="宋体" w:eastAsia="宋体" w:hAnsi="Times New Roman"/>
          <w:color w:val="000000"/>
        </w:rPr>
        <w:t>: 1133）私有化项目提供某财富100国际公司处理相关潜在的影响和提供证券意见，并取得香港证监会豁免于某上市公司私有化中的文件披露要求</w:t>
      </w:r>
    </w:p>
    <w:p w14:paraId="430DE0D2" w14:textId="77777777" w:rsidR="009E1C66" w:rsidRDefault="009E1C66" w:rsidP="009E1C66">
      <w:pPr>
        <w:pStyle w:val="af5"/>
        <w:numPr>
          <w:ilvl w:val="0"/>
          <w:numId w:val="44"/>
        </w:numPr>
        <w:spacing w:before="120"/>
        <w:ind w:left="690" w:hanging="240"/>
        <w:rPr>
          <w:rFonts w:ascii="宋体" w:eastAsia="宋体" w:hAnsi="Times New Roman"/>
          <w:color w:val="000000"/>
        </w:rPr>
      </w:pPr>
      <w:r w:rsidRPr="009E1C66">
        <w:rPr>
          <w:rFonts w:ascii="宋体" w:eastAsia="宋体" w:hAnsi="Times New Roman" w:hint="eastAsia"/>
          <w:color w:val="000000"/>
        </w:rPr>
        <w:t>新城发展控股有限公司（港交所股份代号</w:t>
      </w:r>
      <w:r w:rsidRPr="009E1C66">
        <w:rPr>
          <w:rFonts w:ascii="宋体" w:eastAsia="宋体" w:hAnsi="Times New Roman"/>
          <w:color w:val="000000"/>
        </w:rPr>
        <w:t>: 1030）的控股股东的6.61亿美元私有化投标</w:t>
      </w:r>
    </w:p>
    <w:p w14:paraId="144439BB" w14:textId="77777777" w:rsidR="009E1C66" w:rsidRDefault="009E1C66" w:rsidP="009E1C66">
      <w:pPr>
        <w:pStyle w:val="af5"/>
        <w:numPr>
          <w:ilvl w:val="0"/>
          <w:numId w:val="45"/>
        </w:numPr>
        <w:spacing w:before="120"/>
        <w:ind w:left="690" w:hanging="240"/>
        <w:rPr>
          <w:rFonts w:ascii="宋体" w:eastAsia="宋体" w:hAnsi="Times New Roman"/>
          <w:color w:val="000000"/>
        </w:rPr>
      </w:pPr>
      <w:r w:rsidRPr="009E1C66">
        <w:rPr>
          <w:rFonts w:ascii="宋体" w:eastAsia="宋体" w:hAnsi="Times New Roman" w:hint="eastAsia"/>
          <w:color w:val="000000"/>
        </w:rPr>
        <w:t>某竞标人寻求收购由和记电讯香港有限公司（港交所股份代号</w:t>
      </w:r>
      <w:r w:rsidRPr="009E1C66">
        <w:rPr>
          <w:rFonts w:ascii="宋体" w:eastAsia="宋体" w:hAnsi="Times New Roman"/>
          <w:color w:val="000000"/>
        </w:rPr>
        <w:t>: 215）所有且运营的固话网络公司，最终这家公司以145亿港元的价格被另一竞标人收购</w:t>
      </w:r>
    </w:p>
    <w:p w14:paraId="4C8BD08F" w14:textId="77777777" w:rsidR="009E1C66" w:rsidRDefault="009E1C66" w:rsidP="009E1C66">
      <w:pPr>
        <w:pStyle w:val="af5"/>
        <w:numPr>
          <w:ilvl w:val="0"/>
          <w:numId w:val="46"/>
        </w:numPr>
        <w:spacing w:before="120"/>
        <w:ind w:left="690" w:hanging="240"/>
        <w:rPr>
          <w:rFonts w:ascii="宋体" w:eastAsia="宋体" w:hAnsi="Times New Roman"/>
          <w:color w:val="000000"/>
        </w:rPr>
      </w:pPr>
      <w:r w:rsidRPr="009E1C66">
        <w:rPr>
          <w:rFonts w:ascii="宋体" w:eastAsia="宋体" w:hAnsi="Times New Roman" w:hint="eastAsia"/>
          <w:color w:val="000000"/>
        </w:rPr>
        <w:t>代表中国圣牧有机奶业有限公司（港交所股份代号</w:t>
      </w:r>
      <w:r w:rsidRPr="009E1C66">
        <w:rPr>
          <w:rFonts w:ascii="宋体" w:eastAsia="宋体" w:hAnsi="Times New Roman"/>
          <w:color w:val="000000"/>
        </w:rPr>
        <w:t>: 1432）的股东出售股权，并取得香港证监会的不需全面要约的确认</w:t>
      </w:r>
    </w:p>
    <w:p w14:paraId="46451B44" w14:textId="77777777" w:rsidR="009E1C66" w:rsidRDefault="009E1C66" w:rsidP="009E1C66">
      <w:pPr>
        <w:pStyle w:val="af5"/>
        <w:numPr>
          <w:ilvl w:val="0"/>
          <w:numId w:val="47"/>
        </w:numPr>
        <w:spacing w:before="120"/>
        <w:ind w:left="690" w:hanging="240"/>
        <w:rPr>
          <w:rFonts w:ascii="宋体" w:eastAsia="宋体" w:hAnsi="Times New Roman"/>
          <w:color w:val="000000"/>
        </w:rPr>
      </w:pPr>
      <w:r w:rsidRPr="009E1C66">
        <w:rPr>
          <w:rFonts w:ascii="宋体" w:eastAsia="宋体" w:hAnsi="Times New Roman" w:hint="eastAsia"/>
          <w:color w:val="000000"/>
        </w:rPr>
        <w:t>代表中国绿色（</w:t>
      </w:r>
      <w:r w:rsidRPr="009E1C66">
        <w:rPr>
          <w:rFonts w:ascii="宋体" w:eastAsia="宋体" w:hAnsi="Times New Roman"/>
          <w:color w:val="000000"/>
        </w:rPr>
        <w:t xml:space="preserve"> 控股 ）有限公司（港交所股份代号: 904）根据香港上市规则以4亿50万美元向可口可乐饮料（上海）有限公司其饮品业务作出出售饮品业务的事宜，并处理所有非常重大出售事项的相关合规事宜，并能维持中上市地位</w:t>
      </w:r>
    </w:p>
    <w:p w14:paraId="74F21230" w14:textId="77777777" w:rsidR="009E1C66" w:rsidRDefault="009E1C66" w:rsidP="009E1C66">
      <w:pPr>
        <w:pStyle w:val="af5"/>
        <w:numPr>
          <w:ilvl w:val="0"/>
          <w:numId w:val="48"/>
        </w:numPr>
        <w:spacing w:before="120"/>
        <w:ind w:left="690" w:hanging="240"/>
        <w:rPr>
          <w:rFonts w:ascii="宋体" w:eastAsia="宋体" w:hAnsi="Times New Roman"/>
          <w:color w:val="000000"/>
        </w:rPr>
      </w:pPr>
      <w:r w:rsidRPr="009E1C66">
        <w:rPr>
          <w:rFonts w:ascii="宋体" w:eastAsia="宋体" w:hAnsi="Times New Roman" w:hint="eastAsia"/>
          <w:color w:val="000000"/>
        </w:rPr>
        <w:t>代表上海复地（在港交所挂牌上市的大型地产开发公司）经办由复星国际有限公司（港交所股份代号</w:t>
      </w:r>
      <w:r w:rsidRPr="009E1C66">
        <w:rPr>
          <w:rFonts w:ascii="宋体" w:eastAsia="宋体" w:hAnsi="Times New Roman"/>
          <w:color w:val="000000"/>
        </w:rPr>
        <w:t>: 656）提出的25.54亿港元的私有化要约事宜</w:t>
      </w:r>
    </w:p>
    <w:p w14:paraId="198E3E23" w14:textId="77777777" w:rsidR="009E1C66" w:rsidRDefault="009E1C66" w:rsidP="009E1C66">
      <w:pPr>
        <w:pStyle w:val="af5"/>
        <w:numPr>
          <w:ilvl w:val="0"/>
          <w:numId w:val="49"/>
        </w:numPr>
        <w:spacing w:before="120"/>
        <w:ind w:left="690" w:hanging="240"/>
        <w:rPr>
          <w:rFonts w:ascii="宋体" w:eastAsia="宋体" w:hAnsi="Times New Roman"/>
          <w:color w:val="000000"/>
        </w:rPr>
      </w:pPr>
      <w:r w:rsidRPr="009E1C66">
        <w:rPr>
          <w:rFonts w:ascii="宋体" w:eastAsia="宋体" w:hAnsi="Times New Roman" w:hint="eastAsia"/>
          <w:color w:val="000000"/>
        </w:rPr>
        <w:t>代表被收购方</w:t>
      </w:r>
      <w:r w:rsidRPr="009E1C66">
        <w:rPr>
          <w:rFonts w:ascii="宋体" w:eastAsia="宋体" w:hAnsi="Times New Roman"/>
          <w:color w:val="000000"/>
        </w:rPr>
        <w:t>CVC Asia Pacific Limited发行8.65亿港元新股收购鸿兴印刷集团有限公司（港交所股份代号: 450）将其子公司新兴纸业以1.49亿美元的价格出售，此交易被归为非常重大的出售事项，取得白洗豁免</w:t>
      </w:r>
    </w:p>
    <w:p w14:paraId="08155682" w14:textId="77777777" w:rsidR="009E1C66" w:rsidRDefault="009E1C66" w:rsidP="009E1C66">
      <w:pPr>
        <w:pStyle w:val="af5"/>
        <w:numPr>
          <w:ilvl w:val="0"/>
          <w:numId w:val="50"/>
        </w:numPr>
        <w:spacing w:before="120"/>
        <w:ind w:left="690" w:hanging="240"/>
        <w:rPr>
          <w:rFonts w:ascii="宋体" w:eastAsia="宋体" w:hAnsi="Times New Roman"/>
          <w:color w:val="000000"/>
        </w:rPr>
      </w:pPr>
      <w:r w:rsidRPr="009E1C66">
        <w:rPr>
          <w:rFonts w:ascii="宋体" w:eastAsia="宋体" w:hAnsi="Times New Roman"/>
          <w:color w:val="000000"/>
        </w:rPr>
        <w:t>Home Group Ltd出售其价值5340万美元的股份给敏华控股，以换取敏华控股的少数股权</w:t>
      </w:r>
    </w:p>
    <w:p w14:paraId="782676C3" w14:textId="77777777" w:rsidR="009E1C66" w:rsidRDefault="009E1C66" w:rsidP="009E1C66">
      <w:pPr>
        <w:pStyle w:val="af5"/>
        <w:numPr>
          <w:ilvl w:val="0"/>
          <w:numId w:val="51"/>
        </w:numPr>
        <w:spacing w:before="120"/>
        <w:ind w:left="690" w:hanging="240"/>
        <w:rPr>
          <w:rFonts w:ascii="宋体" w:eastAsia="宋体" w:hAnsi="Times New Roman"/>
          <w:color w:val="000000"/>
        </w:rPr>
      </w:pPr>
      <w:r w:rsidRPr="009E1C66">
        <w:rPr>
          <w:rFonts w:ascii="宋体" w:eastAsia="宋体" w:hAnsi="Times New Roman" w:hint="eastAsia"/>
          <w:color w:val="000000"/>
        </w:rPr>
        <w:t>卡塔尔控股收购中信资本控股</w:t>
      </w:r>
      <w:r w:rsidRPr="009E1C66">
        <w:rPr>
          <w:rFonts w:ascii="宋体" w:eastAsia="宋体" w:hAnsi="Times New Roman"/>
          <w:color w:val="000000"/>
        </w:rPr>
        <w:t>22%的股权</w:t>
      </w:r>
    </w:p>
    <w:p w14:paraId="6C7378D3" w14:textId="77777777" w:rsidR="009E1C66" w:rsidRDefault="009E1C66" w:rsidP="009E1C66">
      <w:pPr>
        <w:pStyle w:val="af5"/>
        <w:numPr>
          <w:ilvl w:val="0"/>
          <w:numId w:val="52"/>
        </w:numPr>
        <w:spacing w:before="120"/>
        <w:ind w:left="690" w:hanging="240"/>
        <w:rPr>
          <w:rFonts w:ascii="宋体" w:eastAsia="宋体" w:hAnsi="Times New Roman"/>
          <w:color w:val="000000"/>
        </w:rPr>
      </w:pPr>
      <w:r w:rsidRPr="009E1C66">
        <w:rPr>
          <w:rFonts w:ascii="宋体" w:eastAsia="宋体" w:hAnsi="Times New Roman" w:hint="eastAsia"/>
          <w:color w:val="000000"/>
        </w:rPr>
        <w:t>代表鸿兴印刷集团有限公司（港交所股份代号</w:t>
      </w:r>
      <w:r w:rsidRPr="009E1C66">
        <w:rPr>
          <w:rFonts w:ascii="宋体" w:eastAsia="宋体" w:hAnsi="Times New Roman"/>
          <w:color w:val="000000"/>
        </w:rPr>
        <w:t>: 450）向 CVC Asia Pacific Limited 发行8.65亿港元新股收购该上市公司。该交易涉及一项清洗豁免 （Whitewash Waiver），从而使得 CVC Asia Pacific Limited 在无需提出收购要约的情况下成为了鸿兴印刷集团有限公司的单一最大股东，并完成了鸿兴的控制权变更</w:t>
      </w:r>
    </w:p>
    <w:p w14:paraId="178EA00E" w14:textId="77777777" w:rsidR="009E1C66" w:rsidRDefault="009E1C66" w:rsidP="009E1C66">
      <w:pPr>
        <w:pStyle w:val="af5"/>
        <w:numPr>
          <w:ilvl w:val="0"/>
          <w:numId w:val="53"/>
        </w:numPr>
        <w:spacing w:before="120"/>
        <w:ind w:left="690" w:hanging="240"/>
        <w:rPr>
          <w:rFonts w:ascii="宋体" w:eastAsia="宋体" w:hAnsi="Times New Roman"/>
          <w:color w:val="000000"/>
        </w:rPr>
      </w:pPr>
      <w:r w:rsidRPr="009E1C66">
        <w:rPr>
          <w:rFonts w:ascii="宋体" w:eastAsia="宋体" w:hAnsi="Times New Roman" w:hint="eastAsia"/>
          <w:color w:val="000000"/>
        </w:rPr>
        <w:t>卡塔尔投资局（通过其全资地产开发公司）收到复星国际</w:t>
      </w:r>
      <w:r w:rsidRPr="009E1C66">
        <w:rPr>
          <w:rFonts w:ascii="宋体" w:eastAsia="宋体" w:hAnsi="Times New Roman"/>
          <w:color w:val="000000"/>
        </w:rPr>
        <w:t>25.54亿港元的私有化要约</w:t>
      </w:r>
    </w:p>
    <w:p w14:paraId="1AA71837" w14:textId="77777777" w:rsidR="009E1C66" w:rsidRDefault="009E1C66" w:rsidP="009E1C66">
      <w:pPr>
        <w:pStyle w:val="af5"/>
        <w:numPr>
          <w:ilvl w:val="0"/>
          <w:numId w:val="54"/>
        </w:numPr>
        <w:spacing w:before="120"/>
        <w:ind w:left="690" w:hanging="240"/>
        <w:rPr>
          <w:rFonts w:ascii="宋体" w:eastAsia="宋体" w:hAnsi="Times New Roman"/>
          <w:color w:val="000000"/>
        </w:rPr>
      </w:pPr>
      <w:r w:rsidRPr="009E1C66">
        <w:rPr>
          <w:rFonts w:ascii="宋体" w:eastAsia="宋体" w:hAnsi="Times New Roman"/>
          <w:color w:val="000000"/>
        </w:rPr>
        <w:t>Piper Jaffray进行香港投资银行分行的收购与后续开发，以及相关监管事宜</w:t>
      </w:r>
    </w:p>
    <w:p w14:paraId="620318E8" w14:textId="77777777" w:rsidR="009E1C66" w:rsidRDefault="009E1C66" w:rsidP="009E1C66">
      <w:pPr>
        <w:pStyle w:val="af5"/>
        <w:spacing w:after="0" w:line="480" w:lineRule="auto"/>
        <w:rPr>
          <w:rFonts w:ascii="宋体" w:eastAsia="宋体" w:hAnsi="宋体"/>
          <w:b/>
          <w:sz w:val="24"/>
        </w:rPr>
      </w:pPr>
      <w:r w:rsidRPr="009E1C66">
        <w:rPr>
          <w:rFonts w:ascii="宋体" w:eastAsia="宋体" w:hAnsi="宋体" w:hint="eastAsia"/>
          <w:b/>
          <w:sz w:val="24"/>
        </w:rPr>
        <w:t>教育背景</w:t>
      </w:r>
    </w:p>
    <w:p w14:paraId="54B926F3" w14:textId="77777777" w:rsidR="009E1C66" w:rsidRDefault="009E1C66" w:rsidP="009E1C66">
      <w:pPr>
        <w:pStyle w:val="af5"/>
        <w:numPr>
          <w:ilvl w:val="0"/>
          <w:numId w:val="55"/>
        </w:numPr>
        <w:spacing w:before="120"/>
        <w:ind w:left="690" w:hanging="240"/>
        <w:rPr>
          <w:rFonts w:ascii="宋体" w:eastAsia="宋体" w:hAnsi="Times New Roman"/>
          <w:color w:val="000000"/>
        </w:rPr>
      </w:pPr>
      <w:r w:rsidRPr="009E1C66">
        <w:rPr>
          <w:rFonts w:ascii="宋体" w:eastAsia="宋体" w:hAnsi="Times New Roman" w:hint="eastAsia"/>
          <w:color w:val="000000"/>
        </w:rPr>
        <w:t>香港大学，法律专业证书</w:t>
      </w:r>
      <w:r w:rsidRPr="009E1C66">
        <w:rPr>
          <w:rFonts w:ascii="宋体" w:eastAsia="宋体" w:hAnsi="Times New Roman"/>
          <w:color w:val="000000"/>
        </w:rPr>
        <w:t xml:space="preserve"> (PCLL)</w:t>
      </w:r>
    </w:p>
    <w:p w14:paraId="37E27961" w14:textId="77777777" w:rsidR="009E1C66" w:rsidRDefault="009E1C66" w:rsidP="009E1C66">
      <w:pPr>
        <w:pStyle w:val="af5"/>
        <w:numPr>
          <w:ilvl w:val="0"/>
          <w:numId w:val="56"/>
        </w:numPr>
        <w:spacing w:before="120"/>
        <w:ind w:left="690" w:hanging="240"/>
        <w:rPr>
          <w:rFonts w:ascii="宋体" w:eastAsia="宋体" w:hAnsi="Times New Roman"/>
          <w:color w:val="000000"/>
        </w:rPr>
      </w:pPr>
      <w:r w:rsidRPr="009E1C66">
        <w:rPr>
          <w:rFonts w:ascii="宋体" w:eastAsia="宋体" w:hAnsi="Times New Roman" w:hint="eastAsia"/>
          <w:color w:val="000000"/>
        </w:rPr>
        <w:t>香港大学，法学学士</w:t>
      </w:r>
    </w:p>
    <w:p w14:paraId="073F16E3" w14:textId="77777777" w:rsidR="009E1C66" w:rsidRDefault="009E1C66" w:rsidP="009E1C66">
      <w:pPr>
        <w:pStyle w:val="af5"/>
        <w:spacing w:after="0" w:line="480" w:lineRule="auto"/>
        <w:rPr>
          <w:rFonts w:ascii="宋体" w:eastAsia="宋体" w:hAnsi="宋体"/>
          <w:b/>
          <w:sz w:val="24"/>
        </w:rPr>
      </w:pPr>
      <w:r w:rsidRPr="009E1C66">
        <w:rPr>
          <w:rFonts w:ascii="宋体" w:eastAsia="宋体" w:hAnsi="宋体" w:hint="eastAsia"/>
          <w:b/>
          <w:sz w:val="24"/>
        </w:rPr>
        <w:t>执业资格</w:t>
      </w:r>
    </w:p>
    <w:p w14:paraId="3A0679CA" w14:textId="77777777" w:rsidR="009E1C66" w:rsidRDefault="009E1C66" w:rsidP="009E1C66">
      <w:pPr>
        <w:pStyle w:val="af5"/>
        <w:numPr>
          <w:ilvl w:val="0"/>
          <w:numId w:val="57"/>
        </w:numPr>
        <w:spacing w:before="120"/>
        <w:ind w:left="690" w:hanging="240"/>
        <w:rPr>
          <w:rFonts w:ascii="宋体" w:eastAsia="宋体" w:hAnsi="Times New Roman"/>
          <w:color w:val="000000"/>
        </w:rPr>
      </w:pPr>
      <w:r w:rsidRPr="009E1C66">
        <w:rPr>
          <w:rFonts w:ascii="宋体" w:eastAsia="宋体" w:hAnsi="Times New Roman" w:hint="eastAsia"/>
          <w:color w:val="000000"/>
        </w:rPr>
        <w:t>香港特别行政区执业律师资格</w:t>
      </w:r>
      <w:r w:rsidRPr="009E1C66">
        <w:rPr>
          <w:rFonts w:ascii="宋体" w:eastAsia="宋体" w:hAnsi="Times New Roman"/>
          <w:color w:val="000000"/>
        </w:rPr>
        <w:t>(1993)</w:t>
      </w:r>
    </w:p>
    <w:p w14:paraId="5B7A701E" w14:textId="77777777" w:rsidR="009E1C66" w:rsidRDefault="009E1C66" w:rsidP="009E1C66">
      <w:pPr>
        <w:pStyle w:val="af5"/>
        <w:numPr>
          <w:ilvl w:val="0"/>
          <w:numId w:val="58"/>
        </w:numPr>
        <w:spacing w:before="120"/>
        <w:ind w:left="690" w:hanging="240"/>
        <w:rPr>
          <w:rFonts w:ascii="宋体" w:eastAsia="宋体" w:hAnsi="Times New Roman"/>
          <w:color w:val="000000"/>
        </w:rPr>
      </w:pPr>
      <w:r w:rsidRPr="009E1C66">
        <w:rPr>
          <w:rFonts w:ascii="宋体" w:eastAsia="宋体" w:hAnsi="Times New Roman" w:hint="eastAsia"/>
          <w:color w:val="000000"/>
        </w:rPr>
        <w:t>英格兰及威尔士律师资格</w:t>
      </w:r>
      <w:r w:rsidRPr="009E1C66">
        <w:rPr>
          <w:rFonts w:ascii="宋体" w:eastAsia="宋体" w:hAnsi="Times New Roman"/>
          <w:color w:val="000000"/>
        </w:rPr>
        <w:t xml:space="preserve"> (1997)</w:t>
      </w:r>
    </w:p>
    <w:p w14:paraId="0181B235" w14:textId="77777777" w:rsidR="009E1C66" w:rsidRDefault="009E1C66" w:rsidP="009E1C66">
      <w:pPr>
        <w:pStyle w:val="af5"/>
        <w:spacing w:after="0" w:line="480" w:lineRule="auto"/>
        <w:rPr>
          <w:rFonts w:ascii="宋体" w:eastAsia="宋体" w:hAnsi="宋体"/>
          <w:b/>
          <w:sz w:val="24"/>
        </w:rPr>
      </w:pPr>
      <w:r w:rsidRPr="009E1C66">
        <w:rPr>
          <w:rFonts w:ascii="宋体" w:eastAsia="宋体" w:hAnsi="宋体" w:hint="eastAsia"/>
          <w:b/>
          <w:sz w:val="24"/>
        </w:rPr>
        <w:t>工作语言</w:t>
      </w:r>
    </w:p>
    <w:p w14:paraId="77CD9E92" w14:textId="77777777" w:rsidR="009E1C66" w:rsidRDefault="009E1C66" w:rsidP="009E1C66">
      <w:pPr>
        <w:pStyle w:val="af5"/>
        <w:numPr>
          <w:ilvl w:val="0"/>
          <w:numId w:val="59"/>
        </w:numPr>
        <w:spacing w:before="120"/>
        <w:ind w:left="690" w:hanging="240"/>
        <w:rPr>
          <w:rFonts w:ascii="宋体" w:eastAsia="宋体" w:hAnsi="Times New Roman"/>
          <w:color w:val="000000"/>
        </w:rPr>
      </w:pPr>
      <w:r w:rsidRPr="009E1C66">
        <w:rPr>
          <w:rFonts w:ascii="宋体" w:eastAsia="宋体" w:hAnsi="Times New Roman" w:hint="eastAsia"/>
          <w:color w:val="000000"/>
        </w:rPr>
        <w:t>普通话</w:t>
      </w:r>
    </w:p>
    <w:p w14:paraId="74DB11AF" w14:textId="77777777" w:rsidR="009E1C66" w:rsidRDefault="009E1C66" w:rsidP="009E1C66">
      <w:pPr>
        <w:pStyle w:val="af5"/>
        <w:numPr>
          <w:ilvl w:val="0"/>
          <w:numId w:val="60"/>
        </w:numPr>
        <w:spacing w:before="120"/>
        <w:ind w:left="690" w:hanging="240"/>
        <w:rPr>
          <w:rFonts w:ascii="宋体" w:eastAsia="宋体" w:hAnsi="Times New Roman"/>
          <w:color w:val="000000"/>
        </w:rPr>
      </w:pPr>
      <w:r w:rsidRPr="009E1C66">
        <w:rPr>
          <w:rFonts w:ascii="宋体" w:eastAsia="宋体" w:hAnsi="Times New Roman" w:hint="eastAsia"/>
          <w:color w:val="000000"/>
        </w:rPr>
        <w:t>粤语</w:t>
      </w:r>
    </w:p>
    <w:p w14:paraId="4F0A196B" w14:textId="134268E1" w:rsidR="00A46A04" w:rsidRPr="009E1C66" w:rsidRDefault="009E1C66" w:rsidP="009E1C66">
      <w:pPr>
        <w:pStyle w:val="af5"/>
        <w:numPr>
          <w:ilvl w:val="0"/>
          <w:numId w:val="61"/>
        </w:numPr>
        <w:spacing w:before="120"/>
        <w:ind w:left="690" w:hanging="240"/>
        <w:rPr>
          <w:rFonts w:ascii="宋体" w:eastAsia="宋体" w:hAnsi="Times New Roman"/>
          <w:color w:val="000000"/>
        </w:rPr>
      </w:pPr>
      <w:r w:rsidRPr="009E1C66">
        <w:rPr>
          <w:rFonts w:ascii="宋体" w:eastAsia="宋体" w:hAnsi="Times New Roman" w:hint="eastAsia"/>
          <w:color w:val="000000"/>
        </w:rPr>
        <w:t>英语</w:t>
      </w:r>
    </w:p>
    <w:sectPr w:rsidR="00A46A04" w:rsidRPr="009E1C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75BA9"/>
    <w:multiLevelType w:val="singleLevel"/>
    <w:tmpl w:val="22D0CB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205BB"/>
    <w:multiLevelType w:val="singleLevel"/>
    <w:tmpl w:val="1E9240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C76C87"/>
    <w:multiLevelType w:val="singleLevel"/>
    <w:tmpl w:val="40264F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22600E"/>
    <w:multiLevelType w:val="singleLevel"/>
    <w:tmpl w:val="52062C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36180"/>
    <w:multiLevelType w:val="singleLevel"/>
    <w:tmpl w:val="CB7014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0A061A"/>
    <w:multiLevelType w:val="singleLevel"/>
    <w:tmpl w:val="4F2EFD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553500"/>
    <w:multiLevelType w:val="singleLevel"/>
    <w:tmpl w:val="4B240E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D4353E"/>
    <w:multiLevelType w:val="singleLevel"/>
    <w:tmpl w:val="949496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306E02"/>
    <w:multiLevelType w:val="singleLevel"/>
    <w:tmpl w:val="BABC3C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3B6EEB"/>
    <w:multiLevelType w:val="singleLevel"/>
    <w:tmpl w:val="B17ECD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2B790D"/>
    <w:multiLevelType w:val="singleLevel"/>
    <w:tmpl w:val="9F889D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F0538C"/>
    <w:multiLevelType w:val="singleLevel"/>
    <w:tmpl w:val="C65EBC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F206B5"/>
    <w:multiLevelType w:val="singleLevel"/>
    <w:tmpl w:val="81A4E0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682327"/>
    <w:multiLevelType w:val="singleLevel"/>
    <w:tmpl w:val="E93893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423D49"/>
    <w:multiLevelType w:val="singleLevel"/>
    <w:tmpl w:val="181687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BA3440"/>
    <w:multiLevelType w:val="singleLevel"/>
    <w:tmpl w:val="AE72E7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F973AD"/>
    <w:multiLevelType w:val="singleLevel"/>
    <w:tmpl w:val="310262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755686"/>
    <w:multiLevelType w:val="singleLevel"/>
    <w:tmpl w:val="FDBA94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B95CAE"/>
    <w:multiLevelType w:val="singleLevel"/>
    <w:tmpl w:val="6FBCD8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E32C61"/>
    <w:multiLevelType w:val="singleLevel"/>
    <w:tmpl w:val="6074A1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1A2F75"/>
    <w:multiLevelType w:val="singleLevel"/>
    <w:tmpl w:val="B58643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0A084F"/>
    <w:multiLevelType w:val="singleLevel"/>
    <w:tmpl w:val="34F282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9E48CE"/>
    <w:multiLevelType w:val="singleLevel"/>
    <w:tmpl w:val="EB7A38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592C9E"/>
    <w:multiLevelType w:val="singleLevel"/>
    <w:tmpl w:val="1108C8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1A5CAB"/>
    <w:multiLevelType w:val="singleLevel"/>
    <w:tmpl w:val="A31299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494CED"/>
    <w:multiLevelType w:val="singleLevel"/>
    <w:tmpl w:val="6144CB9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0D18F3"/>
    <w:multiLevelType w:val="singleLevel"/>
    <w:tmpl w:val="620E19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CA3E36"/>
    <w:multiLevelType w:val="singleLevel"/>
    <w:tmpl w:val="9F28521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205F18"/>
    <w:multiLevelType w:val="singleLevel"/>
    <w:tmpl w:val="D646D1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6A7C0F"/>
    <w:multiLevelType w:val="singleLevel"/>
    <w:tmpl w:val="53DC97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B607D8"/>
    <w:multiLevelType w:val="singleLevel"/>
    <w:tmpl w:val="7A4877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3B02DC"/>
    <w:multiLevelType w:val="singleLevel"/>
    <w:tmpl w:val="020E1FF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626E88"/>
    <w:multiLevelType w:val="singleLevel"/>
    <w:tmpl w:val="5DCCB5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1D0BC0"/>
    <w:multiLevelType w:val="singleLevel"/>
    <w:tmpl w:val="6F603EB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BE363E"/>
    <w:multiLevelType w:val="singleLevel"/>
    <w:tmpl w:val="035EAC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B13042"/>
    <w:multiLevelType w:val="singleLevel"/>
    <w:tmpl w:val="1F684F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C71092"/>
    <w:multiLevelType w:val="singleLevel"/>
    <w:tmpl w:val="76F2B7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134FA7"/>
    <w:multiLevelType w:val="singleLevel"/>
    <w:tmpl w:val="4202BF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7B3FF8"/>
    <w:multiLevelType w:val="singleLevel"/>
    <w:tmpl w:val="6DB0696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BB77B0"/>
    <w:multiLevelType w:val="singleLevel"/>
    <w:tmpl w:val="A588D74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5A3862"/>
    <w:multiLevelType w:val="singleLevel"/>
    <w:tmpl w:val="F1E45E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AD7B0B"/>
    <w:multiLevelType w:val="singleLevel"/>
    <w:tmpl w:val="B194F47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B786178"/>
    <w:multiLevelType w:val="singleLevel"/>
    <w:tmpl w:val="D574658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CC209B"/>
    <w:multiLevelType w:val="singleLevel"/>
    <w:tmpl w:val="17265A6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FE2CB6"/>
    <w:multiLevelType w:val="singleLevel"/>
    <w:tmpl w:val="89B0949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ECB4D51"/>
    <w:multiLevelType w:val="singleLevel"/>
    <w:tmpl w:val="310E479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F4B7DE0"/>
    <w:multiLevelType w:val="singleLevel"/>
    <w:tmpl w:val="3E8C0C2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0F2731C"/>
    <w:multiLevelType w:val="singleLevel"/>
    <w:tmpl w:val="25A21D5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385668"/>
    <w:multiLevelType w:val="singleLevel"/>
    <w:tmpl w:val="7E482A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D05B86"/>
    <w:multiLevelType w:val="singleLevel"/>
    <w:tmpl w:val="A73C39F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9A0C30"/>
    <w:multiLevelType w:val="singleLevel"/>
    <w:tmpl w:val="A1A0136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B68322D"/>
    <w:multiLevelType w:val="singleLevel"/>
    <w:tmpl w:val="EB7A380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C442982"/>
    <w:multiLevelType w:val="singleLevel"/>
    <w:tmpl w:val="5E38FF3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F7069E9"/>
    <w:multiLevelType w:val="singleLevel"/>
    <w:tmpl w:val="C7407BE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07E6512"/>
    <w:multiLevelType w:val="singleLevel"/>
    <w:tmpl w:val="11DEE8E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2811B85"/>
    <w:multiLevelType w:val="singleLevel"/>
    <w:tmpl w:val="EFDED6C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35D045C"/>
    <w:multiLevelType w:val="singleLevel"/>
    <w:tmpl w:val="77DCD00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9D7E02"/>
    <w:multiLevelType w:val="singleLevel"/>
    <w:tmpl w:val="EAE4C42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5A0437"/>
    <w:multiLevelType w:val="singleLevel"/>
    <w:tmpl w:val="A0BA87B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226595"/>
    <w:multiLevelType w:val="singleLevel"/>
    <w:tmpl w:val="9F0ADE9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E74A7B"/>
    <w:multiLevelType w:val="singleLevel"/>
    <w:tmpl w:val="1DC8D4E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45"/>
  </w:num>
  <w:num w:numId="3">
    <w:abstractNumId w:val="20"/>
  </w:num>
  <w:num w:numId="4">
    <w:abstractNumId w:val="58"/>
  </w:num>
  <w:num w:numId="5">
    <w:abstractNumId w:val="10"/>
  </w:num>
  <w:num w:numId="6">
    <w:abstractNumId w:val="59"/>
  </w:num>
  <w:num w:numId="7">
    <w:abstractNumId w:val="52"/>
  </w:num>
  <w:num w:numId="8">
    <w:abstractNumId w:val="7"/>
  </w:num>
  <w:num w:numId="9">
    <w:abstractNumId w:val="25"/>
  </w:num>
  <w:num w:numId="10">
    <w:abstractNumId w:val="47"/>
  </w:num>
  <w:num w:numId="11">
    <w:abstractNumId w:val="55"/>
  </w:num>
  <w:num w:numId="12">
    <w:abstractNumId w:val="26"/>
  </w:num>
  <w:num w:numId="13">
    <w:abstractNumId w:val="16"/>
  </w:num>
  <w:num w:numId="14">
    <w:abstractNumId w:val="4"/>
  </w:num>
  <w:num w:numId="15">
    <w:abstractNumId w:val="3"/>
  </w:num>
  <w:num w:numId="16">
    <w:abstractNumId w:val="38"/>
  </w:num>
  <w:num w:numId="17">
    <w:abstractNumId w:val="12"/>
  </w:num>
  <w:num w:numId="18">
    <w:abstractNumId w:val="30"/>
  </w:num>
  <w:num w:numId="19">
    <w:abstractNumId w:val="54"/>
  </w:num>
  <w:num w:numId="20">
    <w:abstractNumId w:val="21"/>
  </w:num>
  <w:num w:numId="21">
    <w:abstractNumId w:val="28"/>
  </w:num>
  <w:num w:numId="22">
    <w:abstractNumId w:val="60"/>
  </w:num>
  <w:num w:numId="23">
    <w:abstractNumId w:val="18"/>
  </w:num>
  <w:num w:numId="24">
    <w:abstractNumId w:val="24"/>
  </w:num>
  <w:num w:numId="25">
    <w:abstractNumId w:val="23"/>
  </w:num>
  <w:num w:numId="26">
    <w:abstractNumId w:val="6"/>
  </w:num>
  <w:num w:numId="27">
    <w:abstractNumId w:val="2"/>
  </w:num>
  <w:num w:numId="28">
    <w:abstractNumId w:val="33"/>
  </w:num>
  <w:num w:numId="29">
    <w:abstractNumId w:val="14"/>
  </w:num>
  <w:num w:numId="30">
    <w:abstractNumId w:val="42"/>
  </w:num>
  <w:num w:numId="31">
    <w:abstractNumId w:val="53"/>
  </w:num>
  <w:num w:numId="32">
    <w:abstractNumId w:val="19"/>
  </w:num>
  <w:num w:numId="33">
    <w:abstractNumId w:val="46"/>
  </w:num>
  <w:num w:numId="34">
    <w:abstractNumId w:val="39"/>
  </w:num>
  <w:num w:numId="35">
    <w:abstractNumId w:val="35"/>
  </w:num>
  <w:num w:numId="36">
    <w:abstractNumId w:val="29"/>
  </w:num>
  <w:num w:numId="37">
    <w:abstractNumId w:val="5"/>
  </w:num>
  <w:num w:numId="38">
    <w:abstractNumId w:val="32"/>
  </w:num>
  <w:num w:numId="39">
    <w:abstractNumId w:val="43"/>
  </w:num>
  <w:num w:numId="40">
    <w:abstractNumId w:val="40"/>
  </w:num>
  <w:num w:numId="41">
    <w:abstractNumId w:val="0"/>
  </w:num>
  <w:num w:numId="42">
    <w:abstractNumId w:val="17"/>
  </w:num>
  <w:num w:numId="43">
    <w:abstractNumId w:val="31"/>
  </w:num>
  <w:num w:numId="44">
    <w:abstractNumId w:val="15"/>
  </w:num>
  <w:num w:numId="45">
    <w:abstractNumId w:val="44"/>
  </w:num>
  <w:num w:numId="46">
    <w:abstractNumId w:val="1"/>
  </w:num>
  <w:num w:numId="47">
    <w:abstractNumId w:val="57"/>
  </w:num>
  <w:num w:numId="48">
    <w:abstractNumId w:val="34"/>
  </w:num>
  <w:num w:numId="49">
    <w:abstractNumId w:val="13"/>
  </w:num>
  <w:num w:numId="50">
    <w:abstractNumId w:val="36"/>
  </w:num>
  <w:num w:numId="51">
    <w:abstractNumId w:val="41"/>
  </w:num>
  <w:num w:numId="52">
    <w:abstractNumId w:val="56"/>
  </w:num>
  <w:num w:numId="53">
    <w:abstractNumId w:val="50"/>
  </w:num>
  <w:num w:numId="54">
    <w:abstractNumId w:val="49"/>
  </w:num>
  <w:num w:numId="55">
    <w:abstractNumId w:val="8"/>
  </w:num>
  <w:num w:numId="56">
    <w:abstractNumId w:val="37"/>
  </w:num>
  <w:num w:numId="57">
    <w:abstractNumId w:val="27"/>
  </w:num>
  <w:num w:numId="58">
    <w:abstractNumId w:val="48"/>
  </w:num>
  <w:num w:numId="59">
    <w:abstractNumId w:val="11"/>
  </w:num>
  <w:num w:numId="60">
    <w:abstractNumId w:val="22"/>
  </w:num>
  <w:num w:numId="61">
    <w:abstractNumId w:val="5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1C66"/>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1C66"/>
    <w:pPr>
      <w:spacing w:after="120"/>
    </w:pPr>
  </w:style>
  <w:style w:type="character" w:customStyle="1" w:styleId="af6">
    <w:name w:val="正文文本 字符"/>
    <w:basedOn w:val="a0"/>
    <w:link w:val="af5"/>
    <w:uiPriority w:val="99"/>
    <w:rsid w:val="009E1C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4AEE5-BEDA-41A0-9984-8007B9AC0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2026-05-01T04:18:00Z</dcterms:created>
  <dcterms:modified xsi:type="dcterms:W3CDTF">2026-05-01T04:18:00Z</dcterms:modified>
</cp:coreProperties>
</file>