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3E59FB9" w:rsidR="0049405C" w:rsidRPr="00187BAA" w:rsidRDefault="009F3004" w:rsidP="009F300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F3004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陈已昕</w:t>
            </w:r>
            <w:bookmarkEnd w:id="0"/>
          </w:p>
          <w:p w14:paraId="20804197" w14:textId="77777777" w:rsidR="009F3004" w:rsidRPr="009F3004" w:rsidRDefault="009F3004" w:rsidP="009F3004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9F3004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73610556" w:rsidR="0049405C" w:rsidRPr="00187BAA" w:rsidRDefault="009F3004" w:rsidP="009F300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9F3004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6C169905" w:rsidR="0049405C" w:rsidRPr="00187BAA" w:rsidRDefault="009F3004" w:rsidP="009F300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F3004">
              <w:rPr>
                <w:rFonts w:ascii="宋体" w:eastAsia="宋体" w:hAnsi="Times New Roman"/>
                <w:color w:val="000000"/>
              </w:rPr>
              <w:t xml:space="preserve">+86 10 5769 5608 / +852 3749 1110 </w:t>
            </w:r>
            <w:bookmarkEnd w:id="3"/>
          </w:p>
          <w:p w14:paraId="4F910ACA" w14:textId="39F93A7F" w:rsidR="0049405C" w:rsidRPr="00187BAA" w:rsidRDefault="009F3004" w:rsidP="009F300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F3004">
              <w:rPr>
                <w:rFonts w:ascii="宋体" w:eastAsia="宋体" w:hAnsi="Times New Roman"/>
                <w:color w:val="000000"/>
              </w:rPr>
              <w:t>christine.chen@fangdalaw.com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0564ECE" w:rsidR="0049405C" w:rsidRPr="00187BAA" w:rsidRDefault="009F300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A1A3A6F" wp14:editId="0FE8A44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945E059" w:rsidR="009465FB" w:rsidRPr="00187BAA" w:rsidRDefault="009F300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F3004">
              <w:rPr>
                <w:rFonts w:ascii="宋体" w:eastAsia="宋体" w:hAnsi="Times New Roman" w:hint="eastAsia"/>
                <w:color w:val="000000"/>
                <w:szCs w:val="21"/>
              </w:rPr>
              <w:t>陈已昕律师的主要执业领域包括跨境证券发行、融资、并购、金融监管法律服务等。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0F0DE14" w14:textId="77777777" w:rsidR="009F300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65BD3A5" w14:textId="77777777" w:rsidR="009F3004" w:rsidRDefault="009F3004" w:rsidP="009F300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F3004">
        <w:rPr>
          <w:rFonts w:ascii="宋体" w:eastAsia="宋体" w:hAnsi="宋体" w:hint="eastAsia"/>
          <w:b/>
          <w:sz w:val="24"/>
        </w:rPr>
        <w:t>近期代理的主要案件</w:t>
      </w:r>
    </w:p>
    <w:p w14:paraId="12DEACAF" w14:textId="77777777" w:rsidR="009F3004" w:rsidRDefault="009F3004" w:rsidP="009F3004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3738FA0" w14:textId="77777777" w:rsidR="009F3004" w:rsidRDefault="009F3004" w:rsidP="009F3004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代表发行人或主承销商参与多家国际开发机构、外国主权机构、金融机构和非金融企业在中国银行间市场发行人民币债券(熊猫债)及特别提款权债券(木兰债)，包括：</w:t>
      </w:r>
    </w:p>
    <w:p w14:paraId="21A1BC9B" w14:textId="77777777" w:rsidR="009F3004" w:rsidRDefault="009F3004" w:rsidP="009F300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世界银行、大韩民国、加拿大不列颠哥伦比亚省、菲律宾共和国、匈牙利、法国农业信贷银行、大华银行、意大利存款和贷款机构股份有限公司、三菱东京日联银行、宝马集团、新鸿基地产、恒安国际集团等</w:t>
      </w:r>
      <w:r w:rsidRPr="009F3004">
        <w:rPr>
          <w:rFonts w:ascii="宋体" w:eastAsia="宋体" w:hAnsi="Times New Roman"/>
          <w:color w:val="000000"/>
        </w:rPr>
        <w:t xml:space="preserve">   代表多家发行人或承销商参与各类股权和债权类证券发行项目，包括：</w:t>
      </w:r>
    </w:p>
    <w:p w14:paraId="5C965D7A" w14:textId="77777777" w:rsidR="009F3004" w:rsidRDefault="009F3004" w:rsidP="009F300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参与数家中国大中型银行香港上市、全球发行项目（中国建设银行、中国工商银行、中国农业银行、招商银行、青岛银行、郑州银行、广州农村商业银行等）以及</w:t>
      </w:r>
      <w:r w:rsidRPr="009F3004">
        <w:rPr>
          <w:rFonts w:ascii="宋体" w:eastAsia="宋体" w:hAnsi="Times New Roman"/>
          <w:color w:val="000000"/>
        </w:rPr>
        <w:t>A+H配股项目（招商银行）</w:t>
      </w:r>
    </w:p>
    <w:p w14:paraId="45C00C62" w14:textId="77777777" w:rsidR="009F3004" w:rsidRDefault="009F3004" w:rsidP="009F300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参与多家美国和非美国公司在纽交所和纳斯达克上市和股权再融资（美国保险精算数据公司、</w:t>
      </w:r>
      <w:r w:rsidRPr="009F3004">
        <w:rPr>
          <w:rFonts w:ascii="宋体" w:eastAsia="宋体" w:hAnsi="Times New Roman"/>
          <w:color w:val="000000"/>
        </w:rPr>
        <w:t>Banco Santander-Chile、林阳新能源控股公司等），多家中资公司香港上市和再融资（中国建材、中国数字视频控股有限公司、复星国际等），以及华泰证券在沪伦通机制下于伦敦证券交易所上市</w:t>
      </w:r>
    </w:p>
    <w:p w14:paraId="21A6BB49" w14:textId="77777777" w:rsidR="009F3004" w:rsidRDefault="009F3004" w:rsidP="009F300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参与多家美国和非美国公司的各类债券（包括高级债券、次级债券、可转换债券、担保债券、中期票据、资产支持证券等）发行项目（中信证券、东南国资、中原资产、信诺保险、雅芳、庞巴迪、花花公子、</w:t>
      </w:r>
      <w:r w:rsidRPr="009F3004">
        <w:rPr>
          <w:rFonts w:ascii="宋体" w:eastAsia="宋体" w:hAnsi="Times New Roman"/>
          <w:color w:val="000000"/>
        </w:rPr>
        <w:t>ICICI, CMC Magnetics, Banco Santander-Chile, Unitrin, Inc., Montpelier Re, Devon Energy Corp., Valero Energy Corp., The May Department Stores Company, Celgene Corporation,</w:t>
      </w:r>
      <w:r w:rsidRPr="009F3004">
        <w:rPr>
          <w:rFonts w:ascii="宋体" w:eastAsia="宋体" w:hAnsi="Times New Roman"/>
          <w:color w:val="000000"/>
        </w:rPr>
        <w:t> </w:t>
      </w:r>
      <w:r w:rsidRPr="009F3004">
        <w:rPr>
          <w:rFonts w:ascii="宋体" w:eastAsia="宋体" w:hAnsi="Times New Roman"/>
          <w:color w:val="000000"/>
        </w:rPr>
        <w:t xml:space="preserve"> K. Hovnanian Enterprises等债券发行项目，以及以中国地方政府债券为基础资产的离岸资产支持美元票据发行）</w:t>
      </w:r>
    </w:p>
    <w:p w14:paraId="1CD792FC" w14:textId="77777777" w:rsidR="009F3004" w:rsidRDefault="009F3004" w:rsidP="009F300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参与广州农村商业银行、郑州银行美元境外优先股发行，瑞士银行、荷兰合作银行等银行机构在美国进行的信托优先证券（</w:t>
      </w:r>
      <w:r w:rsidRPr="009F3004">
        <w:rPr>
          <w:rFonts w:ascii="宋体" w:eastAsia="宋体" w:hAnsi="Times New Roman"/>
          <w:color w:val="000000"/>
        </w:rPr>
        <w:t>Trust Preferred Securities）发行和利宝保险公司、全美金融服务公司、美国旅行者集团、美国国际集团等保险机构的混合证券发行</w:t>
      </w:r>
    </w:p>
    <w:p w14:paraId="496E701F" w14:textId="77777777" w:rsidR="009F3004" w:rsidRDefault="009F3004" w:rsidP="009F3004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代表美联储与美国国际集团（AIG）进行160亿美元债转股，代表荷兰银行（ABN AMRO）出售La Salle 银行给美国银行，代表圣保罗公司（The St. Paul Companies）与旅行者财险公司（Travelers Property Casualty Corp.）合并。</w:t>
      </w:r>
    </w:p>
    <w:p w14:paraId="15C79AE5" w14:textId="77777777" w:rsidR="009F3004" w:rsidRDefault="009F3004" w:rsidP="009F3004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就中国金融监管事宜（包括进入中国银行间市场及证券市场、金融监管合规等事宜）向诸多境内外金融机构客户提供咨询。</w:t>
      </w:r>
    </w:p>
    <w:p w14:paraId="6B9B4E26" w14:textId="77777777" w:rsidR="009F3004" w:rsidRDefault="009F3004" w:rsidP="009F3004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*包括加入方达前完成的项目</w:t>
      </w:r>
    </w:p>
    <w:p w14:paraId="0F8D4164" w14:textId="77777777" w:rsidR="009F3004" w:rsidRDefault="009F3004" w:rsidP="009F300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F3004">
        <w:rPr>
          <w:rFonts w:ascii="宋体" w:eastAsia="宋体" w:hAnsi="宋体" w:hint="eastAsia"/>
          <w:b/>
          <w:sz w:val="24"/>
        </w:rPr>
        <w:t>教育背景</w:t>
      </w:r>
    </w:p>
    <w:p w14:paraId="5348631C" w14:textId="77777777" w:rsidR="009F3004" w:rsidRDefault="009F3004" w:rsidP="009F300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纽约大学法学，硕士学位（豪斯国际学者）</w:t>
      </w:r>
    </w:p>
    <w:p w14:paraId="4DF19258" w14:textId="77777777" w:rsidR="009F3004" w:rsidRDefault="009F3004" w:rsidP="009F300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复旦大学，经济学博士</w:t>
      </w:r>
    </w:p>
    <w:p w14:paraId="40F6F535" w14:textId="77777777" w:rsidR="009F3004" w:rsidRDefault="009F3004" w:rsidP="009F300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复旦大学，法学学士、法学硕士</w:t>
      </w:r>
    </w:p>
    <w:p w14:paraId="2AE1FF10" w14:textId="77777777" w:rsidR="009F3004" w:rsidRDefault="009F3004" w:rsidP="009F300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F3004">
        <w:rPr>
          <w:rFonts w:ascii="宋体" w:eastAsia="宋体" w:hAnsi="宋体" w:hint="eastAsia"/>
          <w:b/>
          <w:sz w:val="24"/>
        </w:rPr>
        <w:t>执业资格</w:t>
      </w:r>
    </w:p>
    <w:p w14:paraId="02E40740" w14:textId="77777777" w:rsidR="009F3004" w:rsidRDefault="009F3004" w:rsidP="009F300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中华人民共和国执业律师</w:t>
      </w:r>
    </w:p>
    <w:p w14:paraId="50ED9B20" w14:textId="77777777" w:rsidR="009F3004" w:rsidRDefault="009F3004" w:rsidP="009F300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美国纽约州执业律师</w:t>
      </w:r>
    </w:p>
    <w:p w14:paraId="37973182" w14:textId="77777777" w:rsidR="009F3004" w:rsidRDefault="009F3004" w:rsidP="009F300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香港特别行政区注册外地律师</w:t>
      </w:r>
    </w:p>
    <w:p w14:paraId="06BA5B98" w14:textId="77777777" w:rsidR="009F3004" w:rsidRDefault="009F3004" w:rsidP="009F300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F3004">
        <w:rPr>
          <w:rFonts w:ascii="宋体" w:eastAsia="宋体" w:hAnsi="宋体" w:hint="eastAsia"/>
          <w:b/>
          <w:sz w:val="24"/>
        </w:rPr>
        <w:t>工作语言</w:t>
      </w:r>
    </w:p>
    <w:p w14:paraId="43C57F83" w14:textId="77777777" w:rsidR="009F3004" w:rsidRDefault="009F3004" w:rsidP="009F300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中文</w:t>
      </w:r>
    </w:p>
    <w:p w14:paraId="630FFE06" w14:textId="77777777" w:rsidR="009F3004" w:rsidRDefault="009F3004" w:rsidP="009F300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英语</w:t>
      </w:r>
    </w:p>
    <w:p w14:paraId="157629D7" w14:textId="77777777" w:rsidR="009F3004" w:rsidRDefault="009F3004" w:rsidP="009F300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F3004">
        <w:rPr>
          <w:rFonts w:ascii="宋体" w:eastAsia="宋体" w:hAnsi="宋体" w:hint="eastAsia"/>
          <w:b/>
          <w:sz w:val="24"/>
        </w:rPr>
        <w:t>职业背景</w:t>
      </w:r>
    </w:p>
    <w:p w14:paraId="74558963" w14:textId="77777777" w:rsidR="009F3004" w:rsidRDefault="009F3004" w:rsidP="009F300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 w:hint="eastAsia"/>
          <w:color w:val="000000"/>
        </w:rPr>
        <w:t>陈律师曾在美国达维律师事务所纽约、香港、北京办公室执业</w:t>
      </w:r>
      <w:r w:rsidRPr="009F3004">
        <w:rPr>
          <w:rFonts w:ascii="宋体" w:eastAsia="宋体" w:hAnsi="Times New Roman"/>
          <w:color w:val="000000"/>
        </w:rPr>
        <w:t>9年多。之后陈律师曾任摩根大通集团董事总经理（Managing Director）、北亚区法律总监，总体负责摩根大通在中国大陆、韩国、台湾的法律事务。加入方达前，陈律师是金杜律师事务所合伙人，主办了诸多创新性的跨境证券发行项目。</w:t>
      </w:r>
    </w:p>
    <w:p w14:paraId="4F0A196B" w14:textId="10849FAB" w:rsidR="00A46A04" w:rsidRPr="009F3004" w:rsidRDefault="009F3004" w:rsidP="009F300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F3004">
        <w:rPr>
          <w:rFonts w:ascii="宋体" w:eastAsia="宋体" w:hAnsi="Times New Roman"/>
          <w:color w:val="000000"/>
        </w:rPr>
        <w:t>2017年，陈已昕律师被国际知名出版机构欧洲货币（Euromoney）评选为</w:t>
      </w:r>
      <w:r w:rsidRPr="009F3004">
        <w:rPr>
          <w:rFonts w:ascii="宋体" w:eastAsia="宋体" w:hAnsi="Times New Roman"/>
          <w:color w:val="000000"/>
        </w:rPr>
        <w:t>“</w:t>
      </w:r>
      <w:r w:rsidRPr="009F3004">
        <w:rPr>
          <w:rFonts w:ascii="宋体" w:eastAsia="宋体" w:hAnsi="Times New Roman"/>
          <w:color w:val="000000"/>
        </w:rPr>
        <w:t>资本市场领域杰出女律师</w:t>
      </w:r>
      <w:r w:rsidRPr="009F3004">
        <w:rPr>
          <w:rFonts w:ascii="宋体" w:eastAsia="宋体" w:hAnsi="Times New Roman"/>
          <w:color w:val="000000"/>
        </w:rPr>
        <w:t>”</w:t>
      </w:r>
      <w:r w:rsidRPr="009F3004">
        <w:rPr>
          <w:rFonts w:ascii="宋体" w:eastAsia="宋体" w:hAnsi="Times New Roman"/>
          <w:color w:val="000000"/>
        </w:rPr>
        <w:t>。2015年和2017年，陈律师被《The Legal 500》评选为中国资本市场领域</w:t>
      </w:r>
      <w:r w:rsidRPr="009F3004">
        <w:rPr>
          <w:rFonts w:ascii="宋体" w:eastAsia="宋体" w:hAnsi="Times New Roman"/>
          <w:color w:val="000000"/>
        </w:rPr>
        <w:t>“</w:t>
      </w:r>
      <w:r w:rsidRPr="009F3004">
        <w:rPr>
          <w:rFonts w:ascii="宋体" w:eastAsia="宋体" w:hAnsi="Times New Roman"/>
          <w:color w:val="000000"/>
        </w:rPr>
        <w:t>推荐律师</w:t>
      </w:r>
      <w:r w:rsidRPr="009F3004">
        <w:rPr>
          <w:rFonts w:ascii="宋体" w:eastAsia="宋体" w:hAnsi="Times New Roman"/>
          <w:color w:val="000000"/>
        </w:rPr>
        <w:t>”</w:t>
      </w:r>
      <w:r w:rsidRPr="009F3004">
        <w:rPr>
          <w:rFonts w:ascii="宋体" w:eastAsia="宋体" w:hAnsi="Times New Roman"/>
          <w:color w:val="000000"/>
        </w:rPr>
        <w:t>。</w:t>
      </w:r>
    </w:p>
    <w:sectPr w:rsidR="00A46A04" w:rsidRPr="009F300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A04AF"/>
    <w:multiLevelType w:val="singleLevel"/>
    <w:tmpl w:val="EDCAE2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17E0F4E"/>
    <w:multiLevelType w:val="singleLevel"/>
    <w:tmpl w:val="57C0BA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5B67C00"/>
    <w:multiLevelType w:val="singleLevel"/>
    <w:tmpl w:val="29DEA4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44F7BF7"/>
    <w:multiLevelType w:val="singleLevel"/>
    <w:tmpl w:val="0A0CC5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7D24132"/>
    <w:multiLevelType w:val="singleLevel"/>
    <w:tmpl w:val="E392DA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847437A"/>
    <w:multiLevelType w:val="singleLevel"/>
    <w:tmpl w:val="978C5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8735DAE"/>
    <w:multiLevelType w:val="singleLevel"/>
    <w:tmpl w:val="EEAAA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530048F"/>
    <w:multiLevelType w:val="singleLevel"/>
    <w:tmpl w:val="5944D7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5AF0AB7"/>
    <w:multiLevelType w:val="singleLevel"/>
    <w:tmpl w:val="339438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6D51D81"/>
    <w:multiLevelType w:val="singleLevel"/>
    <w:tmpl w:val="203642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AB375C6"/>
    <w:multiLevelType w:val="singleLevel"/>
    <w:tmpl w:val="FBF22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B891BD4"/>
    <w:multiLevelType w:val="singleLevel"/>
    <w:tmpl w:val="96D63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6C5115"/>
    <w:multiLevelType w:val="singleLevel"/>
    <w:tmpl w:val="6D9202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8CE10C4"/>
    <w:multiLevelType w:val="singleLevel"/>
    <w:tmpl w:val="95DA5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970AE3"/>
    <w:multiLevelType w:val="singleLevel"/>
    <w:tmpl w:val="95DA5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8AF1668"/>
    <w:multiLevelType w:val="singleLevel"/>
    <w:tmpl w:val="1B6EA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4"/>
  </w:num>
  <w:num w:numId="5">
    <w:abstractNumId w:val="4"/>
  </w:num>
  <w:num w:numId="6">
    <w:abstractNumId w:val="2"/>
  </w:num>
  <w:num w:numId="7">
    <w:abstractNumId w:val="0"/>
  </w:num>
  <w:num w:numId="8">
    <w:abstractNumId w:val="17"/>
  </w:num>
  <w:num w:numId="9">
    <w:abstractNumId w:val="9"/>
  </w:num>
  <w:num w:numId="10">
    <w:abstractNumId w:val="13"/>
  </w:num>
  <w:num w:numId="11">
    <w:abstractNumId w:val="7"/>
  </w:num>
  <w:num w:numId="12">
    <w:abstractNumId w:val="10"/>
  </w:num>
  <w:num w:numId="13">
    <w:abstractNumId w:val="1"/>
  </w:num>
  <w:num w:numId="14">
    <w:abstractNumId w:val="12"/>
  </w:num>
  <w:num w:numId="15">
    <w:abstractNumId w:val="11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9F3004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F300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F300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E4F73E-36BD-4439-BC46-55178DADA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2026-04-29T23:29:00Z</dcterms:created>
  <dcterms:modified xsi:type="dcterms:W3CDTF">2026-04-29T23:29:00Z</dcterms:modified>
</cp:coreProperties>
</file>