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323BA3A" w:rsidR="0049405C" w:rsidRPr="00187BAA" w:rsidRDefault="001C1E44" w:rsidP="001C1E4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C1E44">
              <w:rPr>
                <w:rFonts w:ascii="宋体" w:eastAsia="宋体" w:hAnsi="Times New Roman" w:hint="eastAsia"/>
                <w:b/>
                <w:color w:val="000000"/>
                <w:sz w:val="48"/>
              </w:rPr>
              <w:t>彭蕴希</w:t>
            </w:r>
            <w:bookmarkEnd w:id="0"/>
          </w:p>
          <w:p w14:paraId="706EB16B" w14:textId="1CAC2D9F" w:rsidR="0049405C" w:rsidRPr="00187BAA" w:rsidRDefault="001C1E44" w:rsidP="001C1E4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C1E44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145EEB7B" w:rsidR="0049405C" w:rsidRPr="00187BAA" w:rsidRDefault="001C1E44" w:rsidP="001C1E4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C1E44">
              <w:rPr>
                <w:rFonts w:ascii="宋体" w:eastAsia="宋体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187C8270" w:rsidR="0049405C" w:rsidRPr="00187BAA" w:rsidRDefault="001C1E44" w:rsidP="001C1E4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C1E44">
              <w:rPr>
                <w:rFonts w:ascii="宋体" w:eastAsia="宋体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E601D00" w:rsidR="0049405C" w:rsidRPr="00187BAA" w:rsidRDefault="001C1E4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8454D43" wp14:editId="414612B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BA4B15D" w:rsidR="009465FB" w:rsidRPr="00187BAA" w:rsidRDefault="001C1E4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C1E44">
              <w:rPr>
                <w:rFonts w:ascii="宋体" w:eastAsia="宋体" w:hAnsi="Times New Roman" w:hint="eastAsia"/>
                <w:color w:val="000000"/>
                <w:szCs w:val="21"/>
              </w:rPr>
              <w:t>彭蕴希律师的主要执业领域为兼并与收购、境外投资、私募股权投资、外商直接投资和一般公司业务。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BE289F5" w14:textId="77777777" w:rsidR="001C1E4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F60291D" w14:textId="77777777" w:rsidR="001C1E44" w:rsidRDefault="001C1E44" w:rsidP="001C1E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C1E44">
        <w:rPr>
          <w:rFonts w:ascii="宋体" w:eastAsia="宋体" w:hAnsi="宋体" w:hint="eastAsia"/>
          <w:b/>
          <w:sz w:val="24"/>
        </w:rPr>
        <w:t>近期代理的主要案件</w:t>
      </w:r>
    </w:p>
    <w:p w14:paraId="34665CBD" w14:textId="77777777" w:rsidR="001C1E44" w:rsidRDefault="001C1E44" w:rsidP="001C1E44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C2F6566" w14:textId="77777777" w:rsidR="001C1E44" w:rsidRDefault="001C1E44" w:rsidP="001C1E4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代表安踏及方源资本等对</w:t>
      </w:r>
      <w:r w:rsidRPr="001C1E44">
        <w:rPr>
          <w:rFonts w:ascii="宋体" w:eastAsia="宋体" w:hAnsi="Times New Roman"/>
          <w:color w:val="000000"/>
        </w:rPr>
        <w:t>Amer Sports进行要约收购，金额约为46亿欧元（被中国法律与实务评论杂志评为2018年中国企业最佳境外收购交易）</w:t>
      </w:r>
    </w:p>
    <w:p w14:paraId="502C5C13" w14:textId="77777777" w:rsidR="001C1E44" w:rsidRDefault="001C1E44" w:rsidP="001C1E4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代表潍柴动力以总价约</w:t>
      </w:r>
      <w:r w:rsidRPr="001C1E44">
        <w:rPr>
          <w:rFonts w:ascii="宋体" w:eastAsia="宋体" w:hAnsi="Times New Roman"/>
          <w:color w:val="000000"/>
        </w:rPr>
        <w:t>7.5亿美元收购德国凯傲公司25股权和其下属的林德液压公司70的份额（被中国法律与实务评论杂志评为2012年中国企业最佳境外收购交易）</w:t>
      </w:r>
    </w:p>
    <w:p w14:paraId="6B9A7289" w14:textId="77777777" w:rsidR="001C1E44" w:rsidRDefault="001C1E44" w:rsidP="001C1E4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代表中联重科以</w:t>
      </w:r>
      <w:r w:rsidRPr="001C1E44">
        <w:rPr>
          <w:rFonts w:ascii="宋体" w:eastAsia="宋体" w:hAnsi="Times New Roman"/>
          <w:color w:val="000000"/>
        </w:rPr>
        <w:t>116亿元向财团出售中联环境80股权</w:t>
      </w:r>
    </w:p>
    <w:p w14:paraId="44B8BDF2" w14:textId="77777777" w:rsidR="001C1E44" w:rsidRDefault="001C1E44" w:rsidP="001C1E4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代表复星医药完成对和睦家医院母公司</w:t>
      </w:r>
      <w:r w:rsidRPr="001C1E44">
        <w:rPr>
          <w:rFonts w:ascii="宋体" w:eastAsia="宋体" w:hAnsi="Times New Roman"/>
          <w:color w:val="000000"/>
        </w:rPr>
        <w:t>Chindex的私有化</w:t>
      </w:r>
    </w:p>
    <w:p w14:paraId="072B699C" w14:textId="77777777" w:rsidR="001C1E44" w:rsidRDefault="001C1E44" w:rsidP="001C1E4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代表字节跳动拟全资收购一家音乐版权公司</w:t>
      </w:r>
    </w:p>
    <w:p w14:paraId="19D3F5D6" w14:textId="77777777" w:rsidR="001C1E44" w:rsidRDefault="001C1E44" w:rsidP="001C1E4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代表霸菱亚洲和中信产业基金收购华尔街英语</w:t>
      </w:r>
      <w:r w:rsidRPr="001C1E44">
        <w:rPr>
          <w:rFonts w:ascii="宋体" w:eastAsia="宋体" w:hAnsi="Times New Roman"/>
          <w:color w:val="000000"/>
        </w:rPr>
        <w:t>100的股权</w:t>
      </w:r>
    </w:p>
    <w:p w14:paraId="65CCF69A" w14:textId="77777777" w:rsidR="001C1E44" w:rsidRDefault="001C1E44" w:rsidP="001C1E4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代表华平投资集团对蚂蚁金服进行股权投资</w:t>
      </w:r>
    </w:p>
    <w:p w14:paraId="553E0D5C" w14:textId="77777777" w:rsidR="001C1E44" w:rsidRDefault="001C1E44" w:rsidP="001C1E4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代表中信产业基金收购字节跳动部分股权</w:t>
      </w:r>
    </w:p>
    <w:p w14:paraId="22723E5D" w14:textId="77777777" w:rsidR="001C1E44" w:rsidRDefault="001C1E44" w:rsidP="001C1E4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代表华平投资集团等机构投资者接受新天然气对</w:t>
      </w:r>
      <w:r w:rsidRPr="001C1E44">
        <w:rPr>
          <w:rFonts w:ascii="宋体" w:eastAsia="宋体" w:hAnsi="Times New Roman"/>
          <w:color w:val="000000"/>
        </w:rPr>
        <w:t>H股上市公司亚美能源的要约收购</w:t>
      </w:r>
    </w:p>
    <w:p w14:paraId="48C2F2E1" w14:textId="77777777" w:rsidR="001C1E44" w:rsidRDefault="001C1E44" w:rsidP="001C1E4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代表复星医药及其他联合投资人以</w:t>
      </w:r>
      <w:r w:rsidRPr="001C1E44">
        <w:rPr>
          <w:rFonts w:ascii="宋体" w:eastAsia="宋体" w:hAnsi="Times New Roman"/>
          <w:color w:val="000000"/>
        </w:rPr>
        <w:t>1.8亿美元收购美国生物制药公司Ambrx Inc 100股权</w:t>
      </w:r>
    </w:p>
    <w:p w14:paraId="69DD57B9" w14:textId="77777777" w:rsidR="001C1E44" w:rsidRDefault="001C1E44" w:rsidP="001C1E4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代表中联重科和曼达林基金联合收购意大利</w:t>
      </w:r>
      <w:r w:rsidRPr="001C1E44">
        <w:rPr>
          <w:rFonts w:ascii="宋体" w:eastAsia="宋体" w:hAnsi="Times New Roman"/>
          <w:color w:val="000000"/>
        </w:rPr>
        <w:t>Ladurner公司75股权</w:t>
      </w:r>
    </w:p>
    <w:p w14:paraId="38FD7BBE" w14:textId="77777777" w:rsidR="001C1E44" w:rsidRDefault="001C1E44" w:rsidP="001C1E4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代表山东重工集团收购意大利豪华游艇公司法拉帝</w:t>
      </w:r>
      <w:r w:rsidRPr="001C1E44">
        <w:rPr>
          <w:rFonts w:ascii="宋体" w:eastAsia="宋体" w:hAnsi="Times New Roman"/>
          <w:color w:val="000000"/>
        </w:rPr>
        <w:t>75的股权</w:t>
      </w:r>
    </w:p>
    <w:p w14:paraId="5708E259" w14:textId="77777777" w:rsidR="001C1E44" w:rsidRDefault="001C1E44" w:rsidP="001C1E4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代表国华能源收购澳大利亚马斯洛风电站</w:t>
      </w:r>
      <w:r w:rsidRPr="001C1E44">
        <w:rPr>
          <w:rFonts w:ascii="宋体" w:eastAsia="宋体" w:hAnsi="Times New Roman"/>
          <w:color w:val="000000"/>
        </w:rPr>
        <w:t>75的股权</w:t>
      </w:r>
    </w:p>
    <w:p w14:paraId="1A3F9FA4" w14:textId="77777777" w:rsidR="001C1E44" w:rsidRDefault="001C1E44" w:rsidP="001C1E4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</w:t>
      </w:r>
      <w:r w:rsidRPr="001C1E44">
        <w:rPr>
          <w:rFonts w:ascii="宋体" w:eastAsia="宋体" w:hAnsi="Times New Roman"/>
          <w:color w:val="000000"/>
        </w:rPr>
        <w:t>CVC资本伙伴收购俏江南82.7股权</w:t>
      </w:r>
    </w:p>
    <w:p w14:paraId="6E8FFC04" w14:textId="77777777" w:rsidR="001C1E44" w:rsidRDefault="001C1E44" w:rsidP="001C1E4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代表威立雅对一家生物质能发电企业进行控股权收购</w:t>
      </w:r>
    </w:p>
    <w:p w14:paraId="482CF98F" w14:textId="77777777" w:rsidR="001C1E44" w:rsidRDefault="001C1E44" w:rsidP="001C1E4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代表戴姆勒以约</w:t>
      </w:r>
      <w:r w:rsidRPr="001C1E44">
        <w:rPr>
          <w:rFonts w:ascii="宋体" w:eastAsia="宋体" w:hAnsi="Times New Roman"/>
          <w:color w:val="000000"/>
        </w:rPr>
        <w:t>51.3亿人民币的对价收购北汽集团12的股份</w:t>
      </w:r>
    </w:p>
    <w:p w14:paraId="1DBDE3E2" w14:textId="77777777" w:rsidR="001C1E44" w:rsidRDefault="001C1E44" w:rsidP="001C1E4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代表日产完成东风日产乘用车业务的剥离</w:t>
      </w:r>
    </w:p>
    <w:p w14:paraId="44B57C71" w14:textId="77777777" w:rsidR="001C1E44" w:rsidRDefault="001C1E44" w:rsidP="001C1E44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代表青岛海尔向外国战略投资者</w:t>
      </w:r>
      <w:r w:rsidRPr="001C1E44">
        <w:rPr>
          <w:rFonts w:ascii="宋体" w:eastAsia="宋体" w:hAnsi="Times New Roman"/>
          <w:color w:val="000000"/>
        </w:rPr>
        <w:t>KKR定向增发</w:t>
      </w:r>
    </w:p>
    <w:p w14:paraId="6E53647C" w14:textId="77777777" w:rsidR="001C1E44" w:rsidRDefault="001C1E44" w:rsidP="001C1E44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代表阿里巴巴收购一家游戏制作公司</w:t>
      </w:r>
      <w:r w:rsidRPr="001C1E44">
        <w:rPr>
          <w:rFonts w:ascii="宋体" w:eastAsia="宋体" w:hAnsi="Times New Roman"/>
          <w:color w:val="000000"/>
        </w:rPr>
        <w:t>100股权</w:t>
      </w:r>
    </w:p>
    <w:p w14:paraId="51A894A3" w14:textId="77777777" w:rsidR="001C1E44" w:rsidRDefault="001C1E44" w:rsidP="001C1E44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代表博裕资本对一家大型白酒企业进行股权投资</w:t>
      </w:r>
    </w:p>
    <w:p w14:paraId="180D6DB8" w14:textId="77777777" w:rsidR="001C1E44" w:rsidRDefault="001C1E44" w:rsidP="001C1E44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代表云锋基金对多家初创企业进行股权投资</w:t>
      </w:r>
    </w:p>
    <w:p w14:paraId="04191D34" w14:textId="77777777" w:rsidR="001C1E44" w:rsidRDefault="001C1E44" w:rsidP="001C1E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C1E44">
        <w:rPr>
          <w:rFonts w:ascii="宋体" w:eastAsia="宋体" w:hAnsi="宋体" w:hint="eastAsia"/>
          <w:b/>
          <w:sz w:val="24"/>
        </w:rPr>
        <w:t>教育背景</w:t>
      </w:r>
    </w:p>
    <w:p w14:paraId="35E803CC" w14:textId="77777777" w:rsidR="001C1E44" w:rsidRDefault="001C1E44" w:rsidP="001C1E44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美国加利福尼亚大学伯克利分校法学院，法学硕士</w:t>
      </w:r>
    </w:p>
    <w:p w14:paraId="44C3AE84" w14:textId="77777777" w:rsidR="001C1E44" w:rsidRDefault="001C1E44" w:rsidP="001C1E44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北京大学法学院，法学学士</w:t>
      </w:r>
    </w:p>
    <w:p w14:paraId="32F432D2" w14:textId="77777777" w:rsidR="001C1E44" w:rsidRDefault="001C1E44" w:rsidP="001C1E44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北京大学中国经济研究中心，经济学学士</w:t>
      </w:r>
    </w:p>
    <w:p w14:paraId="10B6D429" w14:textId="77777777" w:rsidR="001C1E44" w:rsidRDefault="001C1E44" w:rsidP="001C1E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C1E44">
        <w:rPr>
          <w:rFonts w:ascii="宋体" w:eastAsia="宋体" w:hAnsi="宋体" w:hint="eastAsia"/>
          <w:b/>
          <w:sz w:val="24"/>
        </w:rPr>
        <w:t>执业资格</w:t>
      </w:r>
    </w:p>
    <w:p w14:paraId="03F795C7" w14:textId="77777777" w:rsidR="001C1E44" w:rsidRDefault="001C1E44" w:rsidP="001C1E44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中华人民共和国执业律师</w:t>
      </w:r>
    </w:p>
    <w:p w14:paraId="0B08D1BC" w14:textId="77777777" w:rsidR="001C1E44" w:rsidRDefault="001C1E44" w:rsidP="001C1E44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美国纽约州律师资格</w:t>
      </w:r>
    </w:p>
    <w:p w14:paraId="72ED4273" w14:textId="77777777" w:rsidR="001C1E44" w:rsidRDefault="001C1E44" w:rsidP="001C1E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C1E44">
        <w:rPr>
          <w:rFonts w:ascii="宋体" w:eastAsia="宋体" w:hAnsi="宋体" w:hint="eastAsia"/>
          <w:b/>
          <w:sz w:val="24"/>
        </w:rPr>
        <w:t>职业背景</w:t>
      </w:r>
    </w:p>
    <w:p w14:paraId="4F0A196B" w14:textId="11BCC05B" w:rsidR="00A46A04" w:rsidRPr="001C1E44" w:rsidRDefault="001C1E44" w:rsidP="001C1E44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C1E44">
        <w:rPr>
          <w:rFonts w:ascii="宋体" w:eastAsia="宋体" w:hAnsi="Times New Roman" w:hint="eastAsia"/>
          <w:color w:val="000000"/>
        </w:rPr>
        <w:t>在于</w:t>
      </w:r>
      <w:r w:rsidRPr="001C1E44">
        <w:rPr>
          <w:rFonts w:ascii="宋体" w:eastAsia="宋体" w:hAnsi="Times New Roman"/>
          <w:color w:val="000000"/>
        </w:rPr>
        <w:t>2015年加入方达之前，彭律师曾经在另一家中国顶级律师事务所工作3年，并在一家中国领先的投资机构担任境外投资法务总监。彭律师曾被legalband评为中国律师俊杰榜三十强。</w:t>
      </w:r>
    </w:p>
    <w:sectPr w:rsidR="00A46A04" w:rsidRPr="001C1E4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07A"/>
    <w:multiLevelType w:val="singleLevel"/>
    <w:tmpl w:val="4FA606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252D8E"/>
    <w:multiLevelType w:val="singleLevel"/>
    <w:tmpl w:val="6CAA0D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50113C"/>
    <w:multiLevelType w:val="singleLevel"/>
    <w:tmpl w:val="8B5AA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C85419"/>
    <w:multiLevelType w:val="singleLevel"/>
    <w:tmpl w:val="C7E42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3A383F"/>
    <w:multiLevelType w:val="singleLevel"/>
    <w:tmpl w:val="46627F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3E58BA"/>
    <w:multiLevelType w:val="singleLevel"/>
    <w:tmpl w:val="B3322A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3016E8"/>
    <w:multiLevelType w:val="singleLevel"/>
    <w:tmpl w:val="52B417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FA185C"/>
    <w:multiLevelType w:val="singleLevel"/>
    <w:tmpl w:val="46465A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441B6E"/>
    <w:multiLevelType w:val="singleLevel"/>
    <w:tmpl w:val="332EC4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7A716C"/>
    <w:multiLevelType w:val="singleLevel"/>
    <w:tmpl w:val="6ACC9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F73108"/>
    <w:multiLevelType w:val="singleLevel"/>
    <w:tmpl w:val="729E7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21626F"/>
    <w:multiLevelType w:val="singleLevel"/>
    <w:tmpl w:val="2E3E63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8766FE"/>
    <w:multiLevelType w:val="singleLevel"/>
    <w:tmpl w:val="2256C9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D8D1C88"/>
    <w:multiLevelType w:val="singleLevel"/>
    <w:tmpl w:val="2256C9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114687A"/>
    <w:multiLevelType w:val="singleLevel"/>
    <w:tmpl w:val="157C7F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3B417EA"/>
    <w:multiLevelType w:val="singleLevel"/>
    <w:tmpl w:val="2682C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447A8A"/>
    <w:multiLevelType w:val="singleLevel"/>
    <w:tmpl w:val="25CAFA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E87AE4"/>
    <w:multiLevelType w:val="singleLevel"/>
    <w:tmpl w:val="053041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B01184D"/>
    <w:multiLevelType w:val="singleLevel"/>
    <w:tmpl w:val="59408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6A54DC"/>
    <w:multiLevelType w:val="singleLevel"/>
    <w:tmpl w:val="94B0BE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7D1E3C"/>
    <w:multiLevelType w:val="singleLevel"/>
    <w:tmpl w:val="09AEA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6316F07"/>
    <w:multiLevelType w:val="singleLevel"/>
    <w:tmpl w:val="5B1EF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7105026"/>
    <w:multiLevelType w:val="singleLevel"/>
    <w:tmpl w:val="03644E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1640D62"/>
    <w:multiLevelType w:val="singleLevel"/>
    <w:tmpl w:val="E4449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B086B33"/>
    <w:multiLevelType w:val="singleLevel"/>
    <w:tmpl w:val="13004D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D715A6C"/>
    <w:multiLevelType w:val="singleLevel"/>
    <w:tmpl w:val="6E8091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E5A4E33"/>
    <w:multiLevelType w:val="singleLevel"/>
    <w:tmpl w:val="D3F61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6352613"/>
    <w:multiLevelType w:val="singleLevel"/>
    <w:tmpl w:val="899E0A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16"/>
  </w:num>
  <w:num w:numId="5">
    <w:abstractNumId w:val="20"/>
  </w:num>
  <w:num w:numId="6">
    <w:abstractNumId w:val="4"/>
  </w:num>
  <w:num w:numId="7">
    <w:abstractNumId w:val="7"/>
  </w:num>
  <w:num w:numId="8">
    <w:abstractNumId w:val="21"/>
  </w:num>
  <w:num w:numId="9">
    <w:abstractNumId w:val="23"/>
  </w:num>
  <w:num w:numId="10">
    <w:abstractNumId w:val="8"/>
  </w:num>
  <w:num w:numId="11">
    <w:abstractNumId w:val="2"/>
  </w:num>
  <w:num w:numId="12">
    <w:abstractNumId w:val="6"/>
  </w:num>
  <w:num w:numId="13">
    <w:abstractNumId w:val="26"/>
  </w:num>
  <w:num w:numId="14">
    <w:abstractNumId w:val="11"/>
  </w:num>
  <w:num w:numId="15">
    <w:abstractNumId w:val="18"/>
  </w:num>
  <w:num w:numId="16">
    <w:abstractNumId w:val="28"/>
  </w:num>
  <w:num w:numId="17">
    <w:abstractNumId w:val="27"/>
  </w:num>
  <w:num w:numId="18">
    <w:abstractNumId w:val="10"/>
  </w:num>
  <w:num w:numId="19">
    <w:abstractNumId w:val="9"/>
  </w:num>
  <w:num w:numId="20">
    <w:abstractNumId w:val="24"/>
  </w:num>
  <w:num w:numId="21">
    <w:abstractNumId w:val="1"/>
  </w:num>
  <w:num w:numId="22">
    <w:abstractNumId w:val="25"/>
  </w:num>
  <w:num w:numId="23">
    <w:abstractNumId w:val="19"/>
  </w:num>
  <w:num w:numId="24">
    <w:abstractNumId w:val="3"/>
  </w:num>
  <w:num w:numId="25">
    <w:abstractNumId w:val="29"/>
  </w:num>
  <w:num w:numId="26">
    <w:abstractNumId w:val="17"/>
  </w:num>
  <w:num w:numId="27">
    <w:abstractNumId w:val="22"/>
  </w:num>
  <w:num w:numId="28">
    <w:abstractNumId w:val="5"/>
  </w:num>
  <w:num w:numId="29">
    <w:abstractNumId w:val="15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1E44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C1E4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C1E4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A209D7F-6C71-4319-8E0D-C5876F987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2026-07-27T06:13:00Z</dcterms:created>
  <dcterms:modified xsi:type="dcterms:W3CDTF">2026-07-27T06:13:00Z</dcterms:modified>
</cp:coreProperties>
</file>