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9C613DD" w:rsidR="0049405C" w:rsidRPr="00187BAA" w:rsidRDefault="005C579F" w:rsidP="005C579F">
            <w:pPr>
              <w:spacing w:line="720" w:lineRule="auto"/>
              <w:rPr>
                <w:rFonts w:ascii="宋体" w:eastAsia="宋体" w:hAnsi="宋体"/>
                <w:color w:val="545551"/>
              </w:rPr>
            </w:pPr>
            <w:bookmarkStart w:id="0" w:name="xingming"/>
            <w:bookmarkStart w:id="1" w:name="_GoBack"/>
            <w:bookmarkEnd w:id="1"/>
            <w:r w:rsidRPr="005C579F">
              <w:rPr>
                <w:rFonts w:ascii="宋体" w:eastAsia="宋体" w:hAnsi="Times New Roman" w:hint="eastAsia"/>
                <w:b/>
                <w:color w:val="000000"/>
                <w:sz w:val="48"/>
              </w:rPr>
              <w:t>鲍晨</w:t>
            </w:r>
            <w:bookmarkEnd w:id="0"/>
          </w:p>
          <w:p w14:paraId="3510CCDA" w14:textId="77777777" w:rsidR="005C579F" w:rsidRPr="005C579F" w:rsidRDefault="005C579F" w:rsidP="005C579F">
            <w:pPr>
              <w:spacing w:line="360" w:lineRule="auto"/>
              <w:rPr>
                <w:rFonts w:ascii="宋体" w:eastAsia="宋体" w:hAnsi="Times New Roman"/>
                <w:b/>
                <w:bCs/>
                <w:color w:val="000000"/>
              </w:rPr>
            </w:pPr>
            <w:bookmarkStart w:id="2" w:name="didian"/>
            <w:r w:rsidRPr="005C579F">
              <w:rPr>
                <w:rFonts w:ascii="宋体" w:eastAsia="宋体" w:hAnsi="Times New Roman" w:hint="eastAsia"/>
                <w:b/>
                <w:bCs/>
                <w:color w:val="000000"/>
              </w:rPr>
              <w:t>合伙人·北京</w:t>
            </w:r>
            <w:r w:rsidRPr="005C579F">
              <w:rPr>
                <w:rFonts w:ascii="宋体" w:eastAsia="宋体" w:hAnsi="Times New Roman"/>
                <w:b/>
                <w:bCs/>
                <w:color w:val="000000"/>
              </w:rPr>
              <w:t>,广州</w:t>
            </w:r>
          </w:p>
          <w:p w14:paraId="706EB16B" w14:textId="608FA0E2" w:rsidR="0049405C" w:rsidRPr="00187BAA" w:rsidRDefault="005C579F" w:rsidP="005C579F">
            <w:pPr>
              <w:spacing w:line="360" w:lineRule="auto"/>
              <w:rPr>
                <w:rFonts w:ascii="宋体" w:eastAsia="宋体" w:hAnsi="宋体"/>
                <w:b/>
                <w:bCs/>
                <w:color w:val="545551"/>
              </w:rPr>
            </w:pPr>
            <w:r w:rsidRPr="005C579F">
              <w:rPr>
                <w:rFonts w:ascii="宋体" w:eastAsia="宋体" w:hAnsi="Times New Roman" w:hint="eastAsia"/>
                <w:b/>
                <w:bCs/>
                <w:color w:val="000000"/>
              </w:rPr>
              <w:t>注册外地律师（中国）·香港</w:t>
            </w:r>
            <w:bookmarkEnd w:id="2"/>
          </w:p>
          <w:p w14:paraId="6199424A" w14:textId="011BE834" w:rsidR="0049405C" w:rsidRPr="00187BAA" w:rsidRDefault="005C579F" w:rsidP="005C579F">
            <w:pPr>
              <w:spacing w:line="360" w:lineRule="auto"/>
              <w:rPr>
                <w:rFonts w:ascii="宋体" w:eastAsia="宋体" w:hAnsi="宋体"/>
                <w:color w:val="545551"/>
              </w:rPr>
            </w:pPr>
            <w:bookmarkStart w:id="3" w:name="dianhua"/>
            <w:r w:rsidRPr="005C579F">
              <w:rPr>
                <w:rFonts w:ascii="宋体" w:eastAsia="宋体" w:hAnsi="Times New Roman"/>
                <w:color w:val="000000"/>
              </w:rPr>
              <w:t xml:space="preserve">+86 10 5769 5618 </w:t>
            </w:r>
            <w:bookmarkEnd w:id="3"/>
          </w:p>
          <w:p w14:paraId="4F910ACA" w14:textId="26A7CE29" w:rsidR="0049405C" w:rsidRPr="00187BAA" w:rsidRDefault="005C579F" w:rsidP="005C579F">
            <w:pPr>
              <w:spacing w:line="360" w:lineRule="auto"/>
              <w:rPr>
                <w:rFonts w:ascii="宋体" w:eastAsia="宋体" w:hAnsi="宋体"/>
                <w:color w:val="000000"/>
              </w:rPr>
            </w:pPr>
            <w:bookmarkStart w:id="4" w:name="youxiang"/>
            <w:r w:rsidRPr="005C579F">
              <w:rPr>
                <w:rFonts w:ascii="宋体" w:eastAsia="宋体" w:hAnsi="Times New Roman"/>
                <w:color w:val="000000"/>
              </w:rPr>
              <w:t>chen.bao@fangdalaw.com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AA15CAC" w:rsidR="0049405C" w:rsidRPr="00187BAA" w:rsidRDefault="005C579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B6D1008" wp14:editId="3CDDAD6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E9CC860" w:rsidR="009465FB" w:rsidRPr="00187BAA" w:rsidRDefault="005C579F" w:rsidP="007177F3">
            <w:pPr>
              <w:rPr>
                <w:rFonts w:ascii="宋体" w:eastAsia="宋体" w:hAnsi="宋体"/>
                <w:color w:val="000000"/>
                <w:szCs w:val="21"/>
              </w:rPr>
            </w:pPr>
            <w:bookmarkStart w:id="6" w:name="zhiyelingyu"/>
            <w:r w:rsidRPr="005C579F">
              <w:rPr>
                <w:rFonts w:ascii="宋体" w:eastAsia="宋体" w:hAnsi="Times New Roman" w:hint="eastAsia"/>
                <w:color w:val="000000"/>
                <w:szCs w:val="21"/>
              </w:rPr>
              <w:t>鲍晨律师的主要执业领域包括跨境并购、私募股权与风险资本投融资、资本市场及一般公司与商业事务。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421CFD" w14:textId="77777777" w:rsidR="005C579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B3BDEB" w14:textId="77777777" w:rsidR="005C579F" w:rsidRDefault="005C579F" w:rsidP="005C579F">
      <w:pPr>
        <w:pStyle w:val="af5"/>
        <w:spacing w:after="0" w:line="480" w:lineRule="auto"/>
        <w:rPr>
          <w:rFonts w:ascii="宋体" w:eastAsia="宋体" w:hAnsi="宋体"/>
          <w:b/>
          <w:sz w:val="24"/>
        </w:rPr>
      </w:pPr>
      <w:r w:rsidRPr="005C579F">
        <w:rPr>
          <w:rFonts w:ascii="宋体" w:eastAsia="宋体" w:hAnsi="宋体" w:hint="eastAsia"/>
          <w:b/>
          <w:sz w:val="24"/>
        </w:rPr>
        <w:t>近期代理的主要案件</w:t>
      </w:r>
    </w:p>
    <w:p w14:paraId="6B8B34D4" w14:textId="77777777" w:rsidR="005C579F" w:rsidRDefault="005C579F" w:rsidP="005C579F">
      <w:pPr>
        <w:pStyle w:val="af5"/>
        <w:spacing w:before="120"/>
        <w:rPr>
          <w:rFonts w:ascii="宋体" w:eastAsia="宋体" w:hAnsi="Times New Roman"/>
          <w:color w:val="000000"/>
        </w:rPr>
      </w:pPr>
      <w:r w:rsidRPr="005C579F">
        <w:rPr>
          <w:rFonts w:ascii="宋体" w:eastAsia="宋体" w:hAnsi="Times New Roman" w:hint="eastAsia"/>
          <w:color w:val="000000"/>
        </w:rPr>
        <w:t>私募股权</w:t>
      </w:r>
      <w:r w:rsidRPr="005C579F">
        <w:rPr>
          <w:rFonts w:ascii="宋体" w:eastAsia="宋体" w:hAnsi="Times New Roman"/>
          <w:color w:val="000000"/>
        </w:rPr>
        <w:t>/风险投资</w:t>
      </w:r>
    </w:p>
    <w:p w14:paraId="1E55810A" w14:textId="77777777" w:rsidR="005C579F" w:rsidRDefault="005C579F" w:rsidP="005C579F">
      <w:pPr>
        <w:pStyle w:val="af5"/>
        <w:numPr>
          <w:ilvl w:val="0"/>
          <w:numId w:val="4"/>
        </w:numPr>
        <w:spacing w:before="120"/>
        <w:ind w:left="690" w:hanging="240"/>
        <w:rPr>
          <w:rFonts w:ascii="宋体" w:eastAsia="宋体" w:hAnsi="Times New Roman"/>
          <w:color w:val="000000"/>
        </w:rPr>
      </w:pPr>
      <w:r w:rsidRPr="005C579F">
        <w:rPr>
          <w:rFonts w:ascii="宋体" w:eastAsia="宋体" w:hAnsi="Times New Roman" w:hint="eastAsia"/>
          <w:color w:val="000000"/>
        </w:rPr>
        <w:t>鲍晨律师长期代表业界领先的私募股权投资机构，如</w:t>
      </w:r>
      <w:r w:rsidRPr="005C579F">
        <w:rPr>
          <w:rFonts w:ascii="宋体" w:eastAsia="宋体" w:hAnsi="Times New Roman"/>
          <w:color w:val="000000"/>
        </w:rPr>
        <w:t>TPG、红杉资本（Sequoia）、联宇投资（Unitas Capital）、EQT、骏麒资本（Affinity Equity Partners）、中信资本（CITIC Capital）、博裕资本（Boyu Capital）、中信产业投资基金（CITIC PE）、今日资本（Capital Today）等处理其在中国进行的各种类型广泛交易，包括对离岸控股公司的投资或对境内公司的直接投资、优先股少数股权投资、控股权收购交易、涉及上市公司及非上市企业的股权或与股票连</w:t>
      </w:r>
      <w:r w:rsidRPr="005C579F">
        <w:rPr>
          <w:rFonts w:ascii="宋体" w:eastAsia="宋体" w:hAnsi="Times New Roman" w:hint="eastAsia"/>
          <w:color w:val="000000"/>
        </w:rPr>
        <w:t>结的债权投资、私有化交易以及资产处置与退出等。</w:t>
      </w:r>
    </w:p>
    <w:p w14:paraId="7AFD9043" w14:textId="77777777" w:rsidR="005C579F" w:rsidRDefault="005C579F" w:rsidP="005C579F">
      <w:pPr>
        <w:pStyle w:val="af5"/>
        <w:numPr>
          <w:ilvl w:val="0"/>
          <w:numId w:val="5"/>
        </w:numPr>
        <w:spacing w:before="120"/>
        <w:ind w:left="690" w:hanging="240"/>
        <w:rPr>
          <w:rFonts w:ascii="宋体" w:eastAsia="宋体" w:hAnsi="Times New Roman"/>
          <w:color w:val="000000"/>
        </w:rPr>
      </w:pPr>
      <w:r w:rsidRPr="005C579F">
        <w:rPr>
          <w:rFonts w:ascii="宋体" w:eastAsia="宋体" w:hAnsi="Times New Roman" w:hint="eastAsia"/>
          <w:color w:val="000000"/>
        </w:rPr>
        <w:t>此外，在代表中国出售方处理其与私募基金主导的并购交易方面，鲍晨律师也拥有丰富的经验。</w:t>
      </w:r>
    </w:p>
    <w:p w14:paraId="521C895C" w14:textId="77777777" w:rsidR="005C579F" w:rsidRDefault="005C579F" w:rsidP="005C579F">
      <w:pPr>
        <w:pStyle w:val="af5"/>
        <w:numPr>
          <w:ilvl w:val="0"/>
          <w:numId w:val="6"/>
        </w:numPr>
        <w:spacing w:before="120"/>
        <w:ind w:left="690" w:hanging="240"/>
        <w:rPr>
          <w:rFonts w:ascii="宋体" w:eastAsia="宋体" w:hAnsi="Times New Roman"/>
          <w:color w:val="000000"/>
        </w:rPr>
      </w:pPr>
      <w:r w:rsidRPr="005C579F">
        <w:rPr>
          <w:rFonts w:ascii="宋体" w:eastAsia="宋体" w:hAnsi="Times New Roman" w:hint="eastAsia"/>
          <w:color w:val="000000"/>
        </w:rPr>
        <w:t>就细分行业与产业板块的经验而言，鲍晨律师在电信、媒体与互联网、消费与零售、制药与医疗、电力与可再生能源以及传统制造业等多领域有着丰富的经验，他在金融服务行业的投资交易中也卓有经验。</w:t>
      </w:r>
    </w:p>
    <w:p w14:paraId="2591174B" w14:textId="77777777" w:rsidR="005C579F" w:rsidRDefault="005C579F" w:rsidP="005C579F">
      <w:pPr>
        <w:pStyle w:val="af5"/>
        <w:numPr>
          <w:ilvl w:val="0"/>
          <w:numId w:val="7"/>
        </w:numPr>
        <w:spacing w:before="120"/>
        <w:ind w:left="690" w:hanging="240"/>
        <w:rPr>
          <w:rFonts w:ascii="宋体" w:eastAsia="宋体" w:hAnsi="Times New Roman"/>
          <w:color w:val="000000"/>
        </w:rPr>
      </w:pPr>
      <w:r w:rsidRPr="005C579F">
        <w:rPr>
          <w:rFonts w:ascii="宋体" w:eastAsia="宋体" w:hAnsi="Times New Roman" w:hint="eastAsia"/>
          <w:color w:val="000000"/>
        </w:rPr>
        <w:t>鲍晨律师在私募股权</w:t>
      </w:r>
      <w:r w:rsidRPr="005C579F">
        <w:rPr>
          <w:rFonts w:ascii="宋体" w:eastAsia="宋体" w:hAnsi="Times New Roman"/>
          <w:color w:val="000000"/>
        </w:rPr>
        <w:t>/风险投资领域的代表性交易包括：代表今日资本（Capital Today）与红杉资本（Sequoia）对京东、美团进行多轮早期投资，京东与美团是两家中国领先的电子商务公司；代表EQT以收购控股权的方式投资老百姓大药房连锁股份有限公司，该公司后于中国A股成功上市，是第一家外资控股的A股上市公司；代表由中信资本领投的买方团参与美国上市公司亚信联创的私有化交易，该交易为中国在美上市公司的首批私有化交易之一。</w:t>
      </w:r>
    </w:p>
    <w:p w14:paraId="2D045881" w14:textId="77777777" w:rsidR="005C579F" w:rsidRDefault="005C579F" w:rsidP="005C579F">
      <w:pPr>
        <w:pStyle w:val="af5"/>
        <w:numPr>
          <w:ilvl w:val="0"/>
          <w:numId w:val="8"/>
        </w:numPr>
        <w:spacing w:before="120"/>
        <w:ind w:left="690" w:hanging="240"/>
        <w:rPr>
          <w:rFonts w:ascii="宋体" w:eastAsia="宋体" w:hAnsi="Times New Roman"/>
          <w:color w:val="000000"/>
        </w:rPr>
      </w:pPr>
      <w:r w:rsidRPr="005C579F">
        <w:rPr>
          <w:rFonts w:ascii="宋体" w:eastAsia="宋体" w:hAnsi="Times New Roman" w:hint="eastAsia"/>
          <w:color w:val="000000"/>
        </w:rPr>
        <w:t>鲍晨律师的近期交易包括：代表加拿大退休金计划投资委员会（</w:t>
      </w:r>
      <w:r w:rsidRPr="005C579F">
        <w:rPr>
          <w:rFonts w:ascii="宋体" w:eastAsia="宋体" w:hAnsi="Times New Roman"/>
          <w:color w:val="000000"/>
        </w:rPr>
        <w:t>Canada Pension Plan Investment Board）以6亿美元参与蚂蚁金服C轮融资，该交易创造性地采用了在岸与离岸双层融资结构；代表两支基金投资4亿美元于中国领先的人工智能公司旷视科技。</w:t>
      </w:r>
    </w:p>
    <w:p w14:paraId="503FB325" w14:textId="77777777" w:rsidR="005C579F" w:rsidRDefault="005C579F" w:rsidP="005C579F">
      <w:pPr>
        <w:pStyle w:val="af5"/>
        <w:spacing w:before="120"/>
        <w:rPr>
          <w:rFonts w:ascii="宋体" w:eastAsia="宋体" w:hAnsi="Times New Roman"/>
          <w:color w:val="000000"/>
        </w:rPr>
      </w:pPr>
      <w:r w:rsidRPr="005C579F">
        <w:rPr>
          <w:rFonts w:ascii="宋体" w:eastAsia="宋体" w:hAnsi="Times New Roman" w:hint="eastAsia"/>
          <w:color w:val="000000"/>
        </w:rPr>
        <w:t>战略并购</w:t>
      </w:r>
      <w:r w:rsidRPr="005C579F">
        <w:rPr>
          <w:rFonts w:ascii="宋体" w:eastAsia="宋体" w:hAnsi="Times New Roman"/>
          <w:color w:val="000000"/>
        </w:rPr>
        <w:t>/外商直接投资</w:t>
      </w:r>
    </w:p>
    <w:p w14:paraId="35A475B1" w14:textId="77777777" w:rsidR="005C579F" w:rsidRDefault="005C579F" w:rsidP="005C579F">
      <w:pPr>
        <w:pStyle w:val="af5"/>
        <w:numPr>
          <w:ilvl w:val="0"/>
          <w:numId w:val="9"/>
        </w:numPr>
        <w:spacing w:before="120"/>
        <w:ind w:left="690" w:hanging="240"/>
        <w:rPr>
          <w:rFonts w:ascii="宋体" w:eastAsia="宋体" w:hAnsi="Times New Roman"/>
          <w:color w:val="000000"/>
        </w:rPr>
      </w:pPr>
      <w:r w:rsidRPr="005C579F">
        <w:rPr>
          <w:rFonts w:ascii="宋体" w:eastAsia="宋体" w:hAnsi="Times New Roman" w:hint="eastAsia"/>
          <w:color w:val="000000"/>
        </w:rPr>
        <w:t>除为财务投资者主导的交易提供法律服务外，鲍晨律师还为众多跨国公司及国内战略投资者在境内的收购与投资事项提供专业法律建议，这些跨国投资者包括美国与欧洲的大型上市公司及私人公司。</w:t>
      </w:r>
    </w:p>
    <w:p w14:paraId="3E5D54A0" w14:textId="77777777" w:rsidR="005C579F" w:rsidRDefault="005C579F" w:rsidP="005C579F">
      <w:pPr>
        <w:pStyle w:val="af5"/>
        <w:numPr>
          <w:ilvl w:val="0"/>
          <w:numId w:val="10"/>
        </w:numPr>
        <w:spacing w:before="120"/>
        <w:ind w:left="690" w:hanging="240"/>
        <w:rPr>
          <w:rFonts w:ascii="宋体" w:eastAsia="宋体" w:hAnsi="Times New Roman"/>
          <w:color w:val="000000"/>
        </w:rPr>
      </w:pPr>
      <w:r w:rsidRPr="005C579F">
        <w:rPr>
          <w:rFonts w:ascii="宋体" w:eastAsia="宋体" w:hAnsi="Times New Roman" w:hint="eastAsia"/>
          <w:color w:val="000000"/>
        </w:rPr>
        <w:t>鲍晨律师在该领域的代表性交易包括：代表瑞银集团（</w:t>
      </w:r>
      <w:r w:rsidRPr="005C579F">
        <w:rPr>
          <w:rFonts w:ascii="宋体" w:eastAsia="宋体" w:hAnsi="Times New Roman"/>
          <w:color w:val="000000"/>
        </w:rPr>
        <w:t>UBS A.G.）以人民币133亿元认购中国邮政储蓄银行股份有限公司4.99%的股份；代表SK中国，以总对价约7.3亿港元向一家香港上市公司CIAM出售其位于中国的电池制造工厂；鲍晨律师还作为中国移动的长期法律顾问，为其以在岸或离岸结构投资于电信、媒体与互联网行业企业，如小米、优刻得（Ucloud）等提供法律服务。</w:t>
      </w:r>
    </w:p>
    <w:p w14:paraId="3967525D" w14:textId="77777777" w:rsidR="005C579F" w:rsidRDefault="005C579F" w:rsidP="005C579F">
      <w:pPr>
        <w:pStyle w:val="af5"/>
        <w:spacing w:after="0" w:line="480" w:lineRule="auto"/>
        <w:rPr>
          <w:rFonts w:ascii="宋体" w:eastAsia="宋体" w:hAnsi="宋体"/>
          <w:b/>
          <w:sz w:val="24"/>
        </w:rPr>
      </w:pPr>
      <w:r w:rsidRPr="005C579F">
        <w:rPr>
          <w:rFonts w:ascii="宋体" w:eastAsia="宋体" w:hAnsi="宋体" w:hint="eastAsia"/>
          <w:b/>
          <w:sz w:val="24"/>
        </w:rPr>
        <w:t>教育背景</w:t>
      </w:r>
    </w:p>
    <w:p w14:paraId="0C388F89" w14:textId="77777777" w:rsidR="005C579F" w:rsidRDefault="005C579F" w:rsidP="005C579F">
      <w:pPr>
        <w:pStyle w:val="af5"/>
        <w:numPr>
          <w:ilvl w:val="0"/>
          <w:numId w:val="11"/>
        </w:numPr>
        <w:spacing w:before="120"/>
        <w:ind w:left="690" w:hanging="240"/>
        <w:rPr>
          <w:rFonts w:ascii="宋体" w:eastAsia="宋体" w:hAnsi="Times New Roman"/>
          <w:color w:val="000000"/>
        </w:rPr>
      </w:pPr>
      <w:r w:rsidRPr="005C579F">
        <w:rPr>
          <w:rFonts w:ascii="宋体" w:eastAsia="宋体" w:hAnsi="Times New Roman" w:hint="eastAsia"/>
          <w:color w:val="000000"/>
        </w:rPr>
        <w:t>美国</w:t>
      </w:r>
      <w:r w:rsidRPr="005C579F">
        <w:rPr>
          <w:rFonts w:ascii="宋体" w:eastAsia="宋体" w:hAnsi="Times New Roman"/>
          <w:color w:val="000000"/>
        </w:rPr>
        <w:t>Seton Hall法学院，法律博士（Chancellor Scholar；特等优秀毕业生）</w:t>
      </w:r>
    </w:p>
    <w:p w14:paraId="17D71F95" w14:textId="77777777" w:rsidR="005C579F" w:rsidRDefault="005C579F" w:rsidP="005C579F">
      <w:pPr>
        <w:pStyle w:val="af5"/>
        <w:numPr>
          <w:ilvl w:val="0"/>
          <w:numId w:val="12"/>
        </w:numPr>
        <w:spacing w:before="120"/>
        <w:ind w:left="690" w:hanging="240"/>
        <w:rPr>
          <w:rFonts w:ascii="宋体" w:eastAsia="宋体" w:hAnsi="Times New Roman"/>
          <w:color w:val="000000"/>
        </w:rPr>
      </w:pPr>
      <w:r w:rsidRPr="005C579F">
        <w:rPr>
          <w:rFonts w:ascii="宋体" w:eastAsia="宋体" w:hAnsi="Times New Roman" w:hint="eastAsia"/>
          <w:color w:val="000000"/>
        </w:rPr>
        <w:t>对外经济贸易大学，法学硕士（优等毕业生）</w:t>
      </w:r>
    </w:p>
    <w:p w14:paraId="3F29583E" w14:textId="77777777" w:rsidR="005C579F" w:rsidRDefault="005C579F" w:rsidP="005C579F">
      <w:pPr>
        <w:pStyle w:val="af5"/>
        <w:numPr>
          <w:ilvl w:val="0"/>
          <w:numId w:val="13"/>
        </w:numPr>
        <w:spacing w:before="120"/>
        <w:ind w:left="690" w:hanging="240"/>
        <w:rPr>
          <w:rFonts w:ascii="宋体" w:eastAsia="宋体" w:hAnsi="Times New Roman"/>
          <w:color w:val="000000"/>
        </w:rPr>
      </w:pPr>
      <w:r w:rsidRPr="005C579F">
        <w:rPr>
          <w:rFonts w:ascii="宋体" w:eastAsia="宋体" w:hAnsi="Times New Roman" w:hint="eastAsia"/>
          <w:color w:val="000000"/>
        </w:rPr>
        <w:t>对外经济贸易大学，法学学士（优等毕业生）</w:t>
      </w:r>
    </w:p>
    <w:p w14:paraId="626100B8" w14:textId="77777777" w:rsidR="005C579F" w:rsidRDefault="005C579F" w:rsidP="005C579F">
      <w:pPr>
        <w:pStyle w:val="af5"/>
        <w:spacing w:after="0" w:line="480" w:lineRule="auto"/>
        <w:rPr>
          <w:rFonts w:ascii="宋体" w:eastAsia="宋体" w:hAnsi="宋体"/>
          <w:b/>
          <w:sz w:val="24"/>
        </w:rPr>
      </w:pPr>
      <w:r w:rsidRPr="005C579F">
        <w:rPr>
          <w:rFonts w:ascii="宋体" w:eastAsia="宋体" w:hAnsi="宋体" w:hint="eastAsia"/>
          <w:b/>
          <w:sz w:val="24"/>
        </w:rPr>
        <w:t>执业资格</w:t>
      </w:r>
    </w:p>
    <w:p w14:paraId="5CD26E21" w14:textId="77777777" w:rsidR="005C579F" w:rsidRDefault="005C579F" w:rsidP="005C579F">
      <w:pPr>
        <w:pStyle w:val="af5"/>
        <w:numPr>
          <w:ilvl w:val="0"/>
          <w:numId w:val="14"/>
        </w:numPr>
        <w:spacing w:before="120"/>
        <w:ind w:left="690" w:hanging="240"/>
        <w:rPr>
          <w:rFonts w:ascii="宋体" w:eastAsia="宋体" w:hAnsi="Times New Roman"/>
          <w:color w:val="000000"/>
        </w:rPr>
      </w:pPr>
      <w:r w:rsidRPr="005C579F">
        <w:rPr>
          <w:rFonts w:ascii="宋体" w:eastAsia="宋体" w:hAnsi="Times New Roman" w:hint="eastAsia"/>
          <w:color w:val="000000"/>
        </w:rPr>
        <w:t>中华人民共和国执业律师</w:t>
      </w:r>
    </w:p>
    <w:p w14:paraId="5197751E" w14:textId="77777777" w:rsidR="005C579F" w:rsidRDefault="005C579F" w:rsidP="005C579F">
      <w:pPr>
        <w:pStyle w:val="af5"/>
        <w:numPr>
          <w:ilvl w:val="0"/>
          <w:numId w:val="15"/>
        </w:numPr>
        <w:spacing w:before="120"/>
        <w:ind w:left="690" w:hanging="240"/>
        <w:rPr>
          <w:rFonts w:ascii="宋体" w:eastAsia="宋体" w:hAnsi="Times New Roman"/>
          <w:color w:val="000000"/>
        </w:rPr>
      </w:pPr>
      <w:r w:rsidRPr="005C579F">
        <w:rPr>
          <w:rFonts w:ascii="宋体" w:eastAsia="宋体" w:hAnsi="Times New Roman" w:hint="eastAsia"/>
          <w:color w:val="000000"/>
        </w:rPr>
        <w:t>美国纽约州律师资格</w:t>
      </w:r>
    </w:p>
    <w:p w14:paraId="6FB7D89C" w14:textId="77777777" w:rsidR="005C579F" w:rsidRDefault="005C579F" w:rsidP="005C579F">
      <w:pPr>
        <w:pStyle w:val="af5"/>
        <w:numPr>
          <w:ilvl w:val="0"/>
          <w:numId w:val="16"/>
        </w:numPr>
        <w:spacing w:before="120"/>
        <w:ind w:left="690" w:hanging="240"/>
        <w:rPr>
          <w:rFonts w:ascii="宋体" w:eastAsia="宋体" w:hAnsi="Times New Roman"/>
          <w:color w:val="000000"/>
        </w:rPr>
      </w:pPr>
      <w:r w:rsidRPr="005C579F">
        <w:rPr>
          <w:rFonts w:ascii="宋体" w:eastAsia="宋体" w:hAnsi="Times New Roman" w:hint="eastAsia"/>
          <w:color w:val="000000"/>
        </w:rPr>
        <w:t>香港特别行政区注册外地律师</w:t>
      </w:r>
    </w:p>
    <w:p w14:paraId="0B27E488" w14:textId="77777777" w:rsidR="005C579F" w:rsidRDefault="005C579F" w:rsidP="005C579F">
      <w:pPr>
        <w:pStyle w:val="af5"/>
        <w:spacing w:after="0" w:line="480" w:lineRule="auto"/>
        <w:rPr>
          <w:rFonts w:ascii="宋体" w:eastAsia="宋体" w:hAnsi="宋体"/>
          <w:b/>
          <w:sz w:val="24"/>
        </w:rPr>
      </w:pPr>
      <w:r w:rsidRPr="005C579F">
        <w:rPr>
          <w:rFonts w:ascii="宋体" w:eastAsia="宋体" w:hAnsi="宋体" w:hint="eastAsia"/>
          <w:b/>
          <w:sz w:val="24"/>
        </w:rPr>
        <w:t>职业背景</w:t>
      </w:r>
    </w:p>
    <w:p w14:paraId="4F0A196B" w14:textId="1476EC2F" w:rsidR="00A46A04" w:rsidRPr="005C579F" w:rsidRDefault="005C579F" w:rsidP="005C579F">
      <w:pPr>
        <w:pStyle w:val="af5"/>
        <w:numPr>
          <w:ilvl w:val="0"/>
          <w:numId w:val="17"/>
        </w:numPr>
        <w:spacing w:before="120"/>
        <w:ind w:left="690" w:hanging="240"/>
        <w:rPr>
          <w:rFonts w:ascii="宋体" w:eastAsia="宋体" w:hAnsi="Times New Roman"/>
          <w:color w:val="000000"/>
        </w:rPr>
      </w:pPr>
      <w:r w:rsidRPr="005C579F">
        <w:rPr>
          <w:rFonts w:ascii="宋体" w:eastAsia="宋体" w:hAnsi="Times New Roman" w:hint="eastAsia"/>
          <w:color w:val="000000"/>
        </w:rPr>
        <w:t>在加入方达律师事务所以前，鲍晨律师曾在一家中国知名律师事务所担任合伙人。此前，他曾分别在两家知名美国律师事务所的北京办公室与香港办公室工作多年。</w:t>
      </w:r>
    </w:p>
    <w:sectPr w:rsidR="00A46A04" w:rsidRPr="005C579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F38B4"/>
    <w:multiLevelType w:val="singleLevel"/>
    <w:tmpl w:val="B7ACF24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C61CC4"/>
    <w:multiLevelType w:val="singleLevel"/>
    <w:tmpl w:val="AC223C1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347F0C"/>
    <w:multiLevelType w:val="singleLevel"/>
    <w:tmpl w:val="87B257C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B67501"/>
    <w:multiLevelType w:val="singleLevel"/>
    <w:tmpl w:val="1D20D8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60A032F"/>
    <w:multiLevelType w:val="singleLevel"/>
    <w:tmpl w:val="ACB413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2D734C"/>
    <w:multiLevelType w:val="singleLevel"/>
    <w:tmpl w:val="5F300FA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C041F4A"/>
    <w:multiLevelType w:val="singleLevel"/>
    <w:tmpl w:val="8A1E096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DD30E00"/>
    <w:multiLevelType w:val="singleLevel"/>
    <w:tmpl w:val="629E9FA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F8A2407"/>
    <w:multiLevelType w:val="singleLevel"/>
    <w:tmpl w:val="3DF404A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00057F4"/>
    <w:multiLevelType w:val="singleLevel"/>
    <w:tmpl w:val="9542883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0B86BC5"/>
    <w:multiLevelType w:val="singleLevel"/>
    <w:tmpl w:val="699E43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A36430"/>
    <w:multiLevelType w:val="singleLevel"/>
    <w:tmpl w:val="CF8E23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56126E3"/>
    <w:multiLevelType w:val="singleLevel"/>
    <w:tmpl w:val="629E9F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5735B3F"/>
    <w:multiLevelType w:val="singleLevel"/>
    <w:tmpl w:val="7E0E475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BE5607F"/>
    <w:multiLevelType w:val="singleLevel"/>
    <w:tmpl w:val="E5C2F34C"/>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7"/>
  </w:num>
  <w:num w:numId="3">
    <w:abstractNumId w:val="12"/>
  </w:num>
  <w:num w:numId="4">
    <w:abstractNumId w:val="15"/>
  </w:num>
  <w:num w:numId="5">
    <w:abstractNumId w:val="3"/>
  </w:num>
  <w:num w:numId="6">
    <w:abstractNumId w:val="0"/>
  </w:num>
  <w:num w:numId="7">
    <w:abstractNumId w:val="10"/>
  </w:num>
  <w:num w:numId="8">
    <w:abstractNumId w:val="2"/>
  </w:num>
  <w:num w:numId="9">
    <w:abstractNumId w:val="11"/>
  </w:num>
  <w:num w:numId="10">
    <w:abstractNumId w:val="8"/>
  </w:num>
  <w:num w:numId="11">
    <w:abstractNumId w:val="16"/>
  </w:num>
  <w:num w:numId="12">
    <w:abstractNumId w:val="4"/>
  </w:num>
  <w:num w:numId="13">
    <w:abstractNumId w:val="1"/>
  </w:num>
  <w:num w:numId="14">
    <w:abstractNumId w:val="13"/>
  </w:num>
  <w:num w:numId="15">
    <w:abstractNumId w:val="5"/>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C579F"/>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579F"/>
    <w:pPr>
      <w:spacing w:after="120"/>
    </w:pPr>
  </w:style>
  <w:style w:type="character" w:customStyle="1" w:styleId="af6">
    <w:name w:val="正文文本 字符"/>
    <w:basedOn w:val="a0"/>
    <w:link w:val="af5"/>
    <w:uiPriority w:val="99"/>
    <w:rsid w:val="005C579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B3067-991E-41BC-8E11-4356C1735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1197</Characters>
  <Application>Microsoft Office Word</Application>
  <DocSecurity>0</DocSecurity>
  <Lines>9</Lines>
  <Paragraphs>2</Paragraphs>
  <ScaleCrop>false</ScaleCrop>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2026-07-09T23:14:00Z</dcterms:created>
  <dcterms:modified xsi:type="dcterms:W3CDTF">2026-07-09T23:14:00Z</dcterms:modified>
</cp:coreProperties>
</file>