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8B8F2E8" w:rsidR="0049405C" w:rsidRPr="00187BAA" w:rsidRDefault="00093B7F" w:rsidP="00093B7F">
            <w:pPr>
              <w:spacing w:line="720" w:lineRule="auto"/>
              <w:rPr>
                <w:rFonts w:ascii="宋体" w:eastAsia="宋体" w:hAnsi="宋体"/>
                <w:color w:val="545551"/>
              </w:rPr>
            </w:pPr>
            <w:bookmarkStart w:id="0" w:name="xingming"/>
            <w:bookmarkStart w:id="1" w:name="_GoBack"/>
            <w:bookmarkEnd w:id="1"/>
            <w:r w:rsidRPr="00093B7F">
              <w:rPr>
                <w:rFonts w:ascii="宋体" w:eastAsia="宋体" w:hAnsi="Times New Roman" w:hint="eastAsia"/>
                <w:b/>
                <w:color w:val="000000"/>
                <w:sz w:val="48"/>
              </w:rPr>
              <w:t>沈菡</w:t>
            </w:r>
            <w:bookmarkEnd w:id="0"/>
          </w:p>
          <w:p w14:paraId="706EB16B" w14:textId="7AE64AA4" w:rsidR="0049405C" w:rsidRPr="00187BAA" w:rsidRDefault="00093B7F" w:rsidP="00093B7F">
            <w:pPr>
              <w:spacing w:line="360" w:lineRule="auto"/>
              <w:rPr>
                <w:rFonts w:ascii="宋体" w:eastAsia="宋体" w:hAnsi="宋体"/>
                <w:b/>
                <w:bCs/>
                <w:color w:val="545551"/>
              </w:rPr>
            </w:pPr>
            <w:bookmarkStart w:id="2" w:name="didian"/>
            <w:r w:rsidRPr="00093B7F">
              <w:rPr>
                <w:rFonts w:ascii="宋体" w:eastAsia="宋体" w:hAnsi="Times New Roman" w:hint="eastAsia"/>
                <w:b/>
                <w:bCs/>
                <w:color w:val="000000"/>
              </w:rPr>
              <w:t>合伙人·香港</w:t>
            </w:r>
            <w:r w:rsidRPr="00093B7F">
              <w:rPr>
                <w:rFonts w:ascii="宋体" w:eastAsia="宋体" w:hAnsi="Times New Roman"/>
                <w:b/>
                <w:bCs/>
                <w:color w:val="000000"/>
              </w:rPr>
              <w:t xml:space="preserve"> | 上海</w:t>
            </w:r>
            <w:bookmarkEnd w:id="2"/>
          </w:p>
          <w:p w14:paraId="6199424A" w14:textId="6FCA812B" w:rsidR="0049405C" w:rsidRPr="00187BAA" w:rsidRDefault="00093B7F" w:rsidP="00093B7F">
            <w:pPr>
              <w:spacing w:line="360" w:lineRule="auto"/>
              <w:rPr>
                <w:rFonts w:ascii="宋体" w:eastAsia="宋体" w:hAnsi="宋体"/>
                <w:color w:val="545551"/>
              </w:rPr>
            </w:pPr>
            <w:bookmarkStart w:id="3" w:name="dianhua"/>
            <w:r w:rsidRPr="00093B7F">
              <w:rPr>
                <w:rFonts w:ascii="宋体" w:eastAsia="宋体" w:hAnsi="Times New Roman"/>
                <w:color w:val="000000"/>
              </w:rPr>
              <w:t xml:space="preserve">+852 3749 1121 </w:t>
            </w:r>
            <w:bookmarkEnd w:id="3"/>
          </w:p>
          <w:p w14:paraId="4F910ACA" w14:textId="46CA37BF" w:rsidR="0049405C" w:rsidRPr="00187BAA" w:rsidRDefault="00093B7F" w:rsidP="00093B7F">
            <w:pPr>
              <w:spacing w:line="360" w:lineRule="auto"/>
              <w:rPr>
                <w:rFonts w:ascii="宋体" w:eastAsia="宋体" w:hAnsi="宋体"/>
                <w:color w:val="000000"/>
              </w:rPr>
            </w:pPr>
            <w:bookmarkStart w:id="4" w:name="youxiang"/>
            <w:r w:rsidRPr="00093B7F">
              <w:rPr>
                <w:rFonts w:ascii="宋体" w:eastAsia="宋体" w:hAnsi="Times New Roman"/>
                <w:color w:val="000000"/>
              </w:rPr>
              <w:t>annie.shen@fangdalaw.com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6DEC082" w:rsidR="0049405C" w:rsidRPr="00187BAA" w:rsidRDefault="00093B7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A8C3A89" wp14:editId="0ACC9EF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896B118" w:rsidR="009465FB" w:rsidRPr="00187BAA" w:rsidRDefault="00093B7F" w:rsidP="007177F3">
            <w:pPr>
              <w:rPr>
                <w:rFonts w:ascii="宋体" w:eastAsia="宋体" w:hAnsi="宋体"/>
                <w:color w:val="000000"/>
                <w:szCs w:val="21"/>
              </w:rPr>
            </w:pPr>
            <w:bookmarkStart w:id="6" w:name="zhiyelingyu"/>
            <w:r w:rsidRPr="00093B7F">
              <w:rPr>
                <w:rFonts w:ascii="宋体" w:eastAsia="宋体" w:hAnsi="Times New Roman" w:hint="eastAsia"/>
                <w:color w:val="000000"/>
                <w:szCs w:val="21"/>
              </w:rPr>
              <w:t>沈菡律师主要业务领域为债券发行、债务重组、境外上市、跨境投融资、数字资产交易、公司日常法律合规等多个领域。</w:t>
            </w:r>
            <w:r w:rsidRPr="00093B7F">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E0BE45A" w14:textId="77777777" w:rsidR="00093B7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178E8E1" w14:textId="77777777" w:rsidR="00093B7F" w:rsidRDefault="00093B7F" w:rsidP="00093B7F">
      <w:pPr>
        <w:pStyle w:val="af5"/>
        <w:spacing w:after="0" w:line="480" w:lineRule="auto"/>
        <w:rPr>
          <w:rFonts w:ascii="宋体" w:eastAsia="宋体" w:hAnsi="宋体"/>
          <w:b/>
          <w:sz w:val="24"/>
        </w:rPr>
      </w:pPr>
      <w:r w:rsidRPr="00093B7F">
        <w:rPr>
          <w:rFonts w:ascii="宋体" w:eastAsia="宋体" w:hAnsi="宋体" w:hint="eastAsia"/>
          <w:b/>
          <w:sz w:val="24"/>
        </w:rPr>
        <w:t>近期代理的主要案件</w:t>
      </w:r>
    </w:p>
    <w:p w14:paraId="1AC9A04D" w14:textId="77777777" w:rsidR="00093B7F" w:rsidRDefault="00093B7F" w:rsidP="00093B7F">
      <w:pPr>
        <w:pStyle w:val="af5"/>
        <w:spacing w:before="120"/>
        <w:rPr>
          <w:rFonts w:ascii="宋体" w:eastAsia="宋体" w:hAnsi="Times New Roman"/>
          <w:color w:val="000000"/>
        </w:rPr>
      </w:pPr>
      <w:r w:rsidRPr="00093B7F">
        <w:rPr>
          <w:rFonts w:ascii="宋体" w:eastAsia="宋体" w:hAnsi="Times New Roman" w:hint="eastAsia"/>
          <w:color w:val="000000"/>
        </w:rPr>
        <w:t>投资级债券发行</w:t>
      </w:r>
    </w:p>
    <w:p w14:paraId="0F8048A9" w14:textId="77777777" w:rsidR="00093B7F" w:rsidRDefault="00093B7F" w:rsidP="00093B7F">
      <w:pPr>
        <w:pStyle w:val="af5"/>
        <w:spacing w:before="120"/>
        <w:rPr>
          <w:rFonts w:ascii="宋体" w:eastAsia="宋体" w:hAnsi="Times New Roman"/>
          <w:color w:val="000000"/>
        </w:rPr>
      </w:pPr>
      <w:r>
        <w:rPr>
          <w:rFonts w:ascii="宋体" w:eastAsia="宋体" w:hAnsi="Times New Roman" w:hint="eastAsia"/>
          <w:color w:val="000000"/>
        </w:rPr>
        <w:t>代表多家政府机构、国有企业、地方政府投融资平台及大型企业完成境外债券发行，包括：中国财政部、中国石化、中信证券、东方财富、浙江海港集团、新加坡淡马锡、潍柴动力、吉利集团、远东租赁、山东财金、TCL科技、中航国际、万科地产、东兴证券、昆仑能源、保利地产、中原资产、济南轨交、济南能源、鲁商集团、青岛胶州城发、西安航天高技术、西安航空城、宁波鄞城、余姚经开、无锡产业、铜陵发展、淮安交通、淮安投控、江苏科维、富港建设、宿州工投、重庆涪陵发展等。</w:t>
      </w:r>
    </w:p>
    <w:p w14:paraId="7B196357" w14:textId="77777777" w:rsidR="00093B7F" w:rsidRDefault="00093B7F" w:rsidP="00093B7F">
      <w:pPr>
        <w:pStyle w:val="af5"/>
        <w:spacing w:before="120"/>
        <w:rPr>
          <w:rFonts w:ascii="宋体" w:eastAsia="宋体" w:hAnsi="Times New Roman"/>
          <w:color w:val="000000"/>
        </w:rPr>
      </w:pPr>
      <w:r w:rsidRPr="00093B7F">
        <w:rPr>
          <w:rFonts w:ascii="宋体" w:eastAsia="宋体" w:hAnsi="Times New Roman" w:hint="eastAsia"/>
          <w:color w:val="000000"/>
        </w:rPr>
        <w:t>高收益债券发行</w:t>
      </w:r>
    </w:p>
    <w:p w14:paraId="405C1D39" w14:textId="77777777" w:rsidR="00093B7F" w:rsidRDefault="00093B7F" w:rsidP="00093B7F">
      <w:pPr>
        <w:pStyle w:val="af5"/>
        <w:spacing w:before="120"/>
        <w:rPr>
          <w:rFonts w:ascii="宋体" w:eastAsia="宋体" w:hAnsi="Times New Roman"/>
          <w:color w:val="000000"/>
        </w:rPr>
      </w:pPr>
      <w:r>
        <w:rPr>
          <w:rFonts w:ascii="宋体" w:eastAsia="宋体" w:hAnsi="Times New Roman" w:hint="eastAsia"/>
          <w:color w:val="000000"/>
        </w:rPr>
        <w:t>协助多家企业完成高收益债券发行，客户包括：融创中国、建业地产、奥园地产、弘阳地产、泛海控股、卓越地产、雅居乐、中国宏桥、旭辉集团、合景泰富、荣光地产、龙湖地产、耐世特汽车系统集团、瑞安地产、西部水泥、新湖中宝等。</w:t>
      </w:r>
    </w:p>
    <w:p w14:paraId="2F9A64E1" w14:textId="77777777" w:rsidR="00093B7F" w:rsidRDefault="00093B7F" w:rsidP="00093B7F">
      <w:pPr>
        <w:pStyle w:val="af5"/>
        <w:spacing w:before="120"/>
        <w:rPr>
          <w:rFonts w:ascii="宋体" w:eastAsia="宋体" w:hAnsi="Times New Roman"/>
          <w:color w:val="000000"/>
        </w:rPr>
      </w:pPr>
      <w:r w:rsidRPr="00093B7F">
        <w:rPr>
          <w:rFonts w:ascii="宋体" w:eastAsia="宋体" w:hAnsi="Times New Roman" w:hint="eastAsia"/>
          <w:color w:val="000000"/>
        </w:rPr>
        <w:t>债务重组与同意征求</w:t>
      </w:r>
    </w:p>
    <w:p w14:paraId="00762A81" w14:textId="77777777" w:rsidR="00093B7F" w:rsidRDefault="00093B7F" w:rsidP="00093B7F">
      <w:pPr>
        <w:pStyle w:val="af5"/>
        <w:spacing w:before="120"/>
        <w:rPr>
          <w:rFonts w:ascii="宋体" w:eastAsia="宋体" w:hAnsi="Times New Roman"/>
          <w:color w:val="000000"/>
        </w:rPr>
      </w:pPr>
      <w:r>
        <w:rPr>
          <w:rFonts w:ascii="宋体" w:eastAsia="宋体" w:hAnsi="Times New Roman" w:hint="eastAsia"/>
          <w:color w:val="000000"/>
        </w:rPr>
        <w:t>参与多项债务重组及同意征求项目，包括：余姚经开要约收购、建业地产同意征求及票据回赎、恒大集团同意征求、中国高速传动设备票据要约收购、SOHO中国同意征求、融创中国同意征求、永晖焦煤要约收购及同意征求等。</w:t>
      </w:r>
    </w:p>
    <w:p w14:paraId="38AC8EB7" w14:textId="77777777" w:rsidR="00093B7F" w:rsidRDefault="00093B7F" w:rsidP="00093B7F">
      <w:pPr>
        <w:pStyle w:val="af5"/>
        <w:spacing w:before="120"/>
        <w:rPr>
          <w:rFonts w:ascii="宋体" w:eastAsia="宋体" w:hAnsi="Times New Roman"/>
          <w:color w:val="000000"/>
        </w:rPr>
      </w:pPr>
      <w:r w:rsidRPr="00093B7F">
        <w:rPr>
          <w:rFonts w:ascii="宋体" w:eastAsia="宋体" w:hAnsi="Times New Roman" w:hint="eastAsia"/>
          <w:color w:val="000000"/>
        </w:rPr>
        <w:t>香港上市及全球发行</w:t>
      </w:r>
    </w:p>
    <w:p w14:paraId="627DBD37" w14:textId="77777777" w:rsidR="00093B7F" w:rsidRDefault="00093B7F" w:rsidP="00093B7F">
      <w:pPr>
        <w:pStyle w:val="af5"/>
        <w:spacing w:before="120"/>
        <w:rPr>
          <w:rFonts w:ascii="宋体" w:eastAsia="宋体" w:hAnsi="Times New Roman"/>
          <w:color w:val="000000"/>
        </w:rPr>
      </w:pPr>
      <w:r>
        <w:rPr>
          <w:rFonts w:ascii="宋体" w:eastAsia="宋体" w:hAnsi="Times New Roman" w:hint="eastAsia"/>
          <w:color w:val="000000"/>
        </w:rPr>
        <w:t>为中国农业银行、中国工商银行、招商银行、中国建设银行、中国人民保险集团、国银租赁、广州农村商业银行、龙湖地产、中板控股、人和商业地产、中视金桥等企业提供香港上市及全球发行法律服务。</w:t>
      </w:r>
    </w:p>
    <w:p w14:paraId="37CB888E" w14:textId="77777777" w:rsidR="00093B7F" w:rsidRDefault="00093B7F" w:rsidP="00093B7F">
      <w:pPr>
        <w:pStyle w:val="af5"/>
        <w:spacing w:before="120"/>
        <w:rPr>
          <w:rFonts w:ascii="宋体" w:eastAsia="宋体" w:hAnsi="Times New Roman"/>
          <w:color w:val="000000"/>
        </w:rPr>
      </w:pPr>
      <w:r w:rsidRPr="00093B7F">
        <w:rPr>
          <w:rFonts w:ascii="宋体" w:eastAsia="宋体" w:hAnsi="Times New Roman" w:hint="eastAsia"/>
          <w:color w:val="000000"/>
        </w:rPr>
        <w:t>美国上市及美国存托股发行</w:t>
      </w:r>
    </w:p>
    <w:p w14:paraId="05598F65" w14:textId="77777777" w:rsidR="00093B7F" w:rsidRDefault="00093B7F" w:rsidP="00093B7F">
      <w:pPr>
        <w:pStyle w:val="af5"/>
        <w:spacing w:before="120"/>
        <w:rPr>
          <w:rFonts w:ascii="宋体" w:eastAsia="宋体" w:hAnsi="Times New Roman"/>
          <w:color w:val="000000"/>
        </w:rPr>
      </w:pPr>
      <w:r>
        <w:rPr>
          <w:rFonts w:ascii="宋体" w:eastAsia="宋体" w:hAnsi="Times New Roman" w:hint="eastAsia"/>
          <w:color w:val="000000"/>
        </w:rPr>
        <w:t>协助百度、前程无忧、猎豹移动、友达光电、展讯、第九城市、盛大、奇景光电等企业完成美国上市及/或美国存托股续发。</w:t>
      </w:r>
    </w:p>
    <w:p w14:paraId="23051846" w14:textId="77777777" w:rsidR="00093B7F" w:rsidRDefault="00093B7F" w:rsidP="00093B7F">
      <w:pPr>
        <w:pStyle w:val="af5"/>
        <w:spacing w:before="120"/>
        <w:rPr>
          <w:rFonts w:ascii="宋体" w:eastAsia="宋体" w:hAnsi="Times New Roman"/>
          <w:color w:val="000000"/>
        </w:rPr>
      </w:pPr>
      <w:r w:rsidRPr="00093B7F">
        <w:rPr>
          <w:rFonts w:ascii="宋体" w:eastAsia="宋体" w:hAnsi="Times New Roman" w:hint="eastAsia"/>
          <w:color w:val="000000"/>
        </w:rPr>
        <w:t>股权类链接产品交易</w:t>
      </w:r>
    </w:p>
    <w:p w14:paraId="07726632" w14:textId="77777777" w:rsidR="00093B7F" w:rsidRDefault="00093B7F" w:rsidP="00093B7F">
      <w:pPr>
        <w:pStyle w:val="af5"/>
        <w:spacing w:before="120"/>
        <w:rPr>
          <w:rFonts w:ascii="宋体" w:eastAsia="宋体" w:hAnsi="Times New Roman"/>
          <w:color w:val="000000"/>
        </w:rPr>
      </w:pPr>
      <w:r>
        <w:rPr>
          <w:rFonts w:ascii="宋体" w:eastAsia="宋体" w:hAnsi="Times New Roman" w:hint="eastAsia"/>
          <w:color w:val="000000"/>
        </w:rPr>
        <w:t>参与招商银行配股发售、网秦可转债发行、广州农村商业银行及郑州银行优先股发行、韩国产业银行与韩国进出口银行经美国证监会注册的下架发行等项目。</w:t>
      </w:r>
    </w:p>
    <w:p w14:paraId="33F23361" w14:textId="77777777" w:rsidR="00093B7F" w:rsidRDefault="00093B7F" w:rsidP="00093B7F">
      <w:pPr>
        <w:pStyle w:val="af5"/>
        <w:spacing w:before="120"/>
        <w:rPr>
          <w:rFonts w:ascii="宋体" w:eastAsia="宋体" w:hAnsi="Times New Roman"/>
          <w:color w:val="000000"/>
        </w:rPr>
      </w:pPr>
      <w:r w:rsidRPr="00093B7F">
        <w:rPr>
          <w:rFonts w:ascii="宋体" w:eastAsia="宋体" w:hAnsi="Times New Roman" w:hint="eastAsia"/>
          <w:color w:val="000000"/>
        </w:rPr>
        <w:t>并购项目</w:t>
      </w:r>
    </w:p>
    <w:p w14:paraId="712B3B58" w14:textId="77777777" w:rsidR="00093B7F" w:rsidRDefault="00093B7F" w:rsidP="00093B7F">
      <w:pPr>
        <w:pStyle w:val="af5"/>
        <w:spacing w:before="120"/>
        <w:rPr>
          <w:rFonts w:ascii="宋体" w:eastAsia="宋体" w:hAnsi="Times New Roman"/>
          <w:color w:val="000000"/>
        </w:rPr>
      </w:pPr>
      <w:r>
        <w:rPr>
          <w:rFonts w:ascii="宋体" w:eastAsia="宋体" w:hAnsi="Times New Roman" w:hint="eastAsia"/>
          <w:color w:val="000000"/>
        </w:rPr>
        <w:t>曾参与多项具有影响力的跨境并购交易，包括毕博向普华永道出售其在印度资产、中国投资有限责任公司对印度尼西亚布米资源的投资、高盛、安联和美国运通对中国工商银行的战略投资、盛大网络部分要约收购华友世纪及美联储通过与AIG的债换股收购AIA的优先权益项目。</w:t>
      </w:r>
    </w:p>
    <w:p w14:paraId="630EFFE3" w14:textId="77777777" w:rsidR="00093B7F" w:rsidRDefault="00093B7F" w:rsidP="00093B7F">
      <w:pPr>
        <w:pStyle w:val="af5"/>
        <w:spacing w:after="0" w:line="480" w:lineRule="auto"/>
        <w:rPr>
          <w:rFonts w:ascii="宋体" w:eastAsia="宋体" w:hAnsi="宋体"/>
          <w:b/>
          <w:sz w:val="24"/>
        </w:rPr>
      </w:pPr>
      <w:r w:rsidRPr="00093B7F">
        <w:rPr>
          <w:rFonts w:ascii="宋体" w:eastAsia="宋体" w:hAnsi="宋体" w:hint="eastAsia"/>
          <w:b/>
          <w:sz w:val="24"/>
        </w:rPr>
        <w:t>教育背景</w:t>
      </w:r>
    </w:p>
    <w:p w14:paraId="3741FA50" w14:textId="77777777" w:rsidR="00093B7F" w:rsidRDefault="00093B7F" w:rsidP="00093B7F">
      <w:pPr>
        <w:pStyle w:val="af5"/>
        <w:numPr>
          <w:ilvl w:val="0"/>
          <w:numId w:val="4"/>
        </w:numPr>
        <w:spacing w:before="120"/>
        <w:ind w:left="690" w:hanging="240"/>
        <w:rPr>
          <w:rFonts w:ascii="宋体" w:eastAsia="宋体" w:hAnsi="Times New Roman"/>
          <w:color w:val="000000"/>
        </w:rPr>
      </w:pPr>
      <w:r w:rsidRPr="00093B7F">
        <w:rPr>
          <w:rFonts w:ascii="宋体" w:eastAsia="宋体" w:hAnsi="Times New Roman" w:hint="eastAsia"/>
          <w:color w:val="000000"/>
        </w:rPr>
        <w:t>上海对外经贸大学，法学学士学位</w:t>
      </w:r>
    </w:p>
    <w:p w14:paraId="28CE81B7" w14:textId="77777777" w:rsidR="00093B7F" w:rsidRDefault="00093B7F" w:rsidP="00093B7F">
      <w:pPr>
        <w:pStyle w:val="af5"/>
        <w:numPr>
          <w:ilvl w:val="0"/>
          <w:numId w:val="5"/>
        </w:numPr>
        <w:spacing w:before="120"/>
        <w:ind w:left="690" w:hanging="240"/>
        <w:rPr>
          <w:rFonts w:ascii="宋体" w:eastAsia="宋体" w:hAnsi="Times New Roman"/>
          <w:color w:val="000000"/>
        </w:rPr>
      </w:pPr>
      <w:r w:rsidRPr="00093B7F">
        <w:rPr>
          <w:rFonts w:ascii="宋体" w:eastAsia="宋体" w:hAnsi="Times New Roman" w:hint="eastAsia"/>
          <w:color w:val="000000"/>
        </w:rPr>
        <w:t>香港城市大学，法哲学硕士学位</w:t>
      </w:r>
    </w:p>
    <w:p w14:paraId="08F916EF" w14:textId="77777777" w:rsidR="00093B7F" w:rsidRDefault="00093B7F" w:rsidP="00093B7F">
      <w:pPr>
        <w:pStyle w:val="af5"/>
        <w:numPr>
          <w:ilvl w:val="0"/>
          <w:numId w:val="6"/>
        </w:numPr>
        <w:spacing w:before="120"/>
        <w:ind w:left="690" w:hanging="240"/>
        <w:rPr>
          <w:rFonts w:ascii="宋体" w:eastAsia="宋体" w:hAnsi="Times New Roman"/>
          <w:color w:val="000000"/>
        </w:rPr>
      </w:pPr>
      <w:r w:rsidRPr="00093B7F">
        <w:rPr>
          <w:rFonts w:ascii="宋体" w:eastAsia="宋体" w:hAnsi="Times New Roman" w:hint="eastAsia"/>
          <w:color w:val="000000"/>
        </w:rPr>
        <w:t>美国纽约大学，法学硕士学位</w:t>
      </w:r>
    </w:p>
    <w:p w14:paraId="445DFB0F" w14:textId="77777777" w:rsidR="00093B7F" w:rsidRDefault="00093B7F" w:rsidP="00093B7F">
      <w:pPr>
        <w:pStyle w:val="af5"/>
        <w:numPr>
          <w:ilvl w:val="0"/>
          <w:numId w:val="7"/>
        </w:numPr>
        <w:spacing w:before="120"/>
        <w:ind w:left="690" w:hanging="240"/>
        <w:rPr>
          <w:rFonts w:ascii="宋体" w:eastAsia="宋体" w:hAnsi="Times New Roman"/>
          <w:color w:val="000000"/>
        </w:rPr>
      </w:pPr>
      <w:r w:rsidRPr="00093B7F">
        <w:rPr>
          <w:rFonts w:ascii="宋体" w:eastAsia="宋体" w:hAnsi="Times New Roman" w:hint="eastAsia"/>
          <w:color w:val="000000"/>
        </w:rPr>
        <w:t>澳洲悉尼大学，法学院访问学者</w:t>
      </w:r>
    </w:p>
    <w:p w14:paraId="68414263" w14:textId="77777777" w:rsidR="00093B7F" w:rsidRDefault="00093B7F" w:rsidP="00093B7F">
      <w:pPr>
        <w:pStyle w:val="af5"/>
        <w:spacing w:after="0" w:line="480" w:lineRule="auto"/>
        <w:rPr>
          <w:rFonts w:ascii="宋体" w:eastAsia="宋体" w:hAnsi="宋体"/>
          <w:b/>
          <w:sz w:val="24"/>
        </w:rPr>
      </w:pPr>
      <w:r w:rsidRPr="00093B7F">
        <w:rPr>
          <w:rFonts w:ascii="宋体" w:eastAsia="宋体" w:hAnsi="宋体" w:hint="eastAsia"/>
          <w:b/>
          <w:sz w:val="24"/>
        </w:rPr>
        <w:t>执业资格</w:t>
      </w:r>
    </w:p>
    <w:p w14:paraId="6938C384" w14:textId="77777777" w:rsidR="00093B7F" w:rsidRDefault="00093B7F" w:rsidP="00093B7F">
      <w:pPr>
        <w:pStyle w:val="af5"/>
        <w:numPr>
          <w:ilvl w:val="0"/>
          <w:numId w:val="8"/>
        </w:numPr>
        <w:spacing w:before="120"/>
        <w:ind w:left="690" w:hanging="240"/>
        <w:rPr>
          <w:rFonts w:ascii="宋体" w:eastAsia="宋体" w:hAnsi="Times New Roman"/>
          <w:color w:val="000000"/>
        </w:rPr>
      </w:pPr>
      <w:r w:rsidRPr="00093B7F">
        <w:rPr>
          <w:rFonts w:ascii="宋体" w:eastAsia="宋体" w:hAnsi="Times New Roman" w:hint="eastAsia"/>
          <w:color w:val="000000"/>
        </w:rPr>
        <w:t>香港特别行政区执业律师资格</w:t>
      </w:r>
    </w:p>
    <w:p w14:paraId="1B6F3350" w14:textId="77777777" w:rsidR="00093B7F" w:rsidRDefault="00093B7F" w:rsidP="00093B7F">
      <w:pPr>
        <w:pStyle w:val="af5"/>
        <w:numPr>
          <w:ilvl w:val="0"/>
          <w:numId w:val="9"/>
        </w:numPr>
        <w:spacing w:before="120"/>
        <w:ind w:left="690" w:hanging="240"/>
        <w:rPr>
          <w:rFonts w:ascii="宋体" w:eastAsia="宋体" w:hAnsi="Times New Roman"/>
          <w:color w:val="000000"/>
        </w:rPr>
      </w:pPr>
      <w:r w:rsidRPr="00093B7F">
        <w:rPr>
          <w:rFonts w:ascii="宋体" w:eastAsia="宋体" w:hAnsi="Times New Roman" w:hint="eastAsia"/>
          <w:color w:val="000000"/>
        </w:rPr>
        <w:t>中华人民共和国执业律师</w:t>
      </w:r>
    </w:p>
    <w:p w14:paraId="62E512F7" w14:textId="77777777" w:rsidR="00093B7F" w:rsidRDefault="00093B7F" w:rsidP="00093B7F">
      <w:pPr>
        <w:pStyle w:val="af5"/>
        <w:numPr>
          <w:ilvl w:val="0"/>
          <w:numId w:val="10"/>
        </w:numPr>
        <w:spacing w:before="120"/>
        <w:ind w:left="690" w:hanging="240"/>
        <w:rPr>
          <w:rFonts w:ascii="宋体" w:eastAsia="宋体" w:hAnsi="Times New Roman"/>
          <w:color w:val="000000"/>
        </w:rPr>
      </w:pPr>
      <w:r w:rsidRPr="00093B7F">
        <w:rPr>
          <w:rFonts w:ascii="宋体" w:eastAsia="宋体" w:hAnsi="Times New Roman" w:hint="eastAsia"/>
          <w:color w:val="000000"/>
        </w:rPr>
        <w:t>美国纽约州执业律师</w:t>
      </w:r>
    </w:p>
    <w:p w14:paraId="527446A6" w14:textId="77777777" w:rsidR="00093B7F" w:rsidRDefault="00093B7F" w:rsidP="00093B7F">
      <w:pPr>
        <w:pStyle w:val="af5"/>
        <w:spacing w:after="0" w:line="480" w:lineRule="auto"/>
        <w:rPr>
          <w:rFonts w:ascii="宋体" w:eastAsia="宋体" w:hAnsi="宋体"/>
          <w:b/>
          <w:sz w:val="24"/>
        </w:rPr>
      </w:pPr>
      <w:r w:rsidRPr="00093B7F">
        <w:rPr>
          <w:rFonts w:ascii="宋体" w:eastAsia="宋体" w:hAnsi="宋体" w:hint="eastAsia"/>
          <w:b/>
          <w:sz w:val="24"/>
        </w:rPr>
        <w:t>职业背景</w:t>
      </w:r>
    </w:p>
    <w:p w14:paraId="1B2D36BA" w14:textId="77777777" w:rsidR="00093B7F" w:rsidRDefault="00093B7F" w:rsidP="00093B7F">
      <w:pPr>
        <w:pStyle w:val="af5"/>
        <w:numPr>
          <w:ilvl w:val="0"/>
          <w:numId w:val="11"/>
        </w:numPr>
        <w:spacing w:before="120"/>
        <w:ind w:left="690" w:hanging="240"/>
        <w:rPr>
          <w:rFonts w:ascii="宋体" w:eastAsia="宋体" w:hAnsi="Times New Roman"/>
          <w:color w:val="000000"/>
        </w:rPr>
      </w:pPr>
      <w:r w:rsidRPr="00093B7F">
        <w:rPr>
          <w:rFonts w:ascii="宋体" w:eastAsia="宋体" w:hAnsi="Times New Roman" w:hint="eastAsia"/>
          <w:color w:val="000000"/>
        </w:rPr>
        <w:t>沈菡（</w:t>
      </w:r>
      <w:r w:rsidRPr="00093B7F">
        <w:rPr>
          <w:rFonts w:ascii="宋体" w:eastAsia="宋体" w:hAnsi="Times New Roman"/>
          <w:color w:val="000000"/>
        </w:rPr>
        <w:t>Annie SHEN）律师是方达律师事务所合伙人，常驻香港/上海办公室，拥有香港、美国纽约州及中国内地三地律师执业资格。她在跨境资本市场、跨境投融资并购及金融创新领域拥有逾二十年执业经验，业务专长涵盖债券发行、债务重组、境外上市、跨境并购、数字资产等多个领域。</w:t>
      </w:r>
    </w:p>
    <w:p w14:paraId="5042B9CA" w14:textId="77777777" w:rsidR="00093B7F" w:rsidRDefault="00093B7F" w:rsidP="00093B7F">
      <w:pPr>
        <w:pStyle w:val="af5"/>
        <w:numPr>
          <w:ilvl w:val="0"/>
          <w:numId w:val="12"/>
        </w:numPr>
        <w:spacing w:before="120"/>
        <w:ind w:left="690" w:hanging="240"/>
        <w:rPr>
          <w:rFonts w:ascii="宋体" w:eastAsia="宋体" w:hAnsi="Times New Roman"/>
          <w:color w:val="000000"/>
        </w:rPr>
      </w:pPr>
      <w:r w:rsidRPr="00093B7F">
        <w:rPr>
          <w:rFonts w:ascii="宋体" w:eastAsia="宋体" w:hAnsi="Times New Roman" w:hint="eastAsia"/>
          <w:color w:val="000000"/>
        </w:rPr>
        <w:t>沈律师长期代表大型央企国企、金融机构及行业龙头企业完成具有市场影响力的境外融资项目，并在高收益债券发行、复杂债务重组及跨境并购交易中展现出卓越的法律服务水平。近年来，她积极拓展数字资产等前沿领域，将传统金融合规经验与金融创新需求深度融合，为多家券商、资管机构及科技企业提供跨境发行方案、合规架构设计及监管沟通支持。</w:t>
      </w:r>
    </w:p>
    <w:p w14:paraId="756131FF" w14:textId="77777777" w:rsidR="00093B7F" w:rsidRDefault="00093B7F" w:rsidP="00093B7F">
      <w:pPr>
        <w:pStyle w:val="af5"/>
        <w:numPr>
          <w:ilvl w:val="0"/>
          <w:numId w:val="13"/>
        </w:numPr>
        <w:spacing w:before="120"/>
        <w:ind w:left="690" w:hanging="240"/>
        <w:rPr>
          <w:rFonts w:ascii="宋体" w:eastAsia="宋体" w:hAnsi="Times New Roman"/>
          <w:color w:val="000000"/>
        </w:rPr>
      </w:pPr>
      <w:r w:rsidRPr="00093B7F">
        <w:rPr>
          <w:rFonts w:ascii="宋体" w:eastAsia="宋体" w:hAnsi="Times New Roman" w:hint="eastAsia"/>
          <w:color w:val="000000"/>
        </w:rPr>
        <w:t>沈律师深谙国际规则与中国实践，多次参与监管机构的立法咨询及国际金融组织论坛，在政策解读与实务衔接方面具备独到洞察。凭借卓越的专业表现，她被国际法律评级机构</w:t>
      </w:r>
      <w:r w:rsidRPr="00093B7F">
        <w:rPr>
          <w:rFonts w:ascii="宋体" w:eastAsia="宋体" w:hAnsi="Times New Roman"/>
          <w:color w:val="000000"/>
        </w:rPr>
        <w:t>IFLR1000连续评为2022</w:t>
      </w:r>
      <w:r w:rsidRPr="00093B7F">
        <w:rPr>
          <w:rFonts w:ascii="宋体" w:eastAsia="宋体" w:hAnsi="Times New Roman"/>
          <w:color w:val="000000"/>
        </w:rPr>
        <w:t>–</w:t>
      </w:r>
      <w:r w:rsidRPr="00093B7F">
        <w:rPr>
          <w:rFonts w:ascii="宋体" w:eastAsia="宋体" w:hAnsi="Times New Roman"/>
          <w:color w:val="000000"/>
        </w:rPr>
        <w:t>2025年度香港债务业务市场</w:t>
      </w:r>
      <w:r w:rsidRPr="00093B7F">
        <w:rPr>
          <w:rFonts w:ascii="宋体" w:eastAsia="宋体" w:hAnsi="Times New Roman"/>
          <w:color w:val="000000"/>
        </w:rPr>
        <w:t>“</w:t>
      </w:r>
      <w:r w:rsidRPr="00093B7F">
        <w:rPr>
          <w:rFonts w:ascii="宋体" w:eastAsia="宋体" w:hAnsi="Times New Roman"/>
          <w:color w:val="000000"/>
        </w:rPr>
        <w:t>市场领军人物</w:t>
      </w:r>
      <w:r w:rsidRPr="00093B7F">
        <w:rPr>
          <w:rFonts w:ascii="宋体" w:eastAsia="宋体" w:hAnsi="Times New Roman"/>
          <w:color w:val="000000"/>
        </w:rPr>
        <w:t>”</w:t>
      </w:r>
      <w:r w:rsidRPr="00093B7F">
        <w:rPr>
          <w:rFonts w:ascii="宋体" w:eastAsia="宋体" w:hAnsi="Times New Roman"/>
          <w:color w:val="000000"/>
        </w:rPr>
        <w:t>（Women Leader）与</w:t>
      </w:r>
      <w:r w:rsidRPr="00093B7F">
        <w:rPr>
          <w:rFonts w:ascii="宋体" w:eastAsia="宋体" w:hAnsi="Times New Roman"/>
          <w:color w:val="000000"/>
        </w:rPr>
        <w:t>“</w:t>
      </w:r>
      <w:r w:rsidRPr="00093B7F">
        <w:rPr>
          <w:rFonts w:ascii="宋体" w:eastAsia="宋体" w:hAnsi="Times New Roman"/>
          <w:color w:val="000000"/>
        </w:rPr>
        <w:t>高度推荐律师</w:t>
      </w:r>
      <w:r w:rsidRPr="00093B7F">
        <w:rPr>
          <w:rFonts w:ascii="宋体" w:eastAsia="宋体" w:hAnsi="Times New Roman"/>
          <w:color w:val="000000"/>
        </w:rPr>
        <w:t>”</w:t>
      </w:r>
      <w:r w:rsidRPr="00093B7F">
        <w:rPr>
          <w:rFonts w:ascii="宋体" w:eastAsia="宋体" w:hAnsi="Times New Roman"/>
          <w:color w:val="000000"/>
        </w:rPr>
        <w:t>（Highly regarded），Legal500亦赞誉她</w:t>
      </w:r>
      <w:r w:rsidRPr="00093B7F">
        <w:rPr>
          <w:rFonts w:ascii="宋体" w:eastAsia="宋体" w:hAnsi="Times New Roman"/>
          <w:color w:val="000000"/>
        </w:rPr>
        <w:t>“</w:t>
      </w:r>
      <w:r w:rsidRPr="00093B7F">
        <w:rPr>
          <w:rFonts w:ascii="宋体" w:eastAsia="宋体" w:hAnsi="Times New Roman"/>
          <w:color w:val="000000"/>
        </w:rPr>
        <w:t>商业判断精准、善于把握项目节奏，尤其擅长与地方国企客户沟通</w:t>
      </w:r>
      <w:r w:rsidRPr="00093B7F">
        <w:rPr>
          <w:rFonts w:ascii="宋体" w:eastAsia="宋体" w:hAnsi="Times New Roman"/>
          <w:color w:val="000000"/>
        </w:rPr>
        <w:t>”</w:t>
      </w:r>
      <w:r w:rsidRPr="00093B7F">
        <w:rPr>
          <w:rFonts w:ascii="宋体" w:eastAsia="宋体" w:hAnsi="Times New Roman"/>
          <w:color w:val="000000"/>
        </w:rPr>
        <w:t>。</w:t>
      </w:r>
    </w:p>
    <w:p w14:paraId="3583313F" w14:textId="77777777" w:rsidR="00093B7F" w:rsidRDefault="00093B7F" w:rsidP="00093B7F">
      <w:pPr>
        <w:pStyle w:val="af5"/>
        <w:numPr>
          <w:ilvl w:val="0"/>
          <w:numId w:val="14"/>
        </w:numPr>
        <w:spacing w:before="120"/>
        <w:ind w:left="690" w:hanging="240"/>
        <w:rPr>
          <w:rFonts w:ascii="宋体" w:eastAsia="宋体" w:hAnsi="Times New Roman"/>
          <w:color w:val="000000"/>
        </w:rPr>
      </w:pPr>
      <w:r w:rsidRPr="00093B7F">
        <w:rPr>
          <w:rFonts w:ascii="宋体" w:eastAsia="宋体" w:hAnsi="Times New Roman" w:hint="eastAsia"/>
          <w:color w:val="000000"/>
        </w:rPr>
        <w:t>在加入方达律师事务所前，沈律师曾于美国达维律师事务所（</w:t>
      </w:r>
      <w:r w:rsidRPr="00093B7F">
        <w:rPr>
          <w:rFonts w:ascii="宋体" w:eastAsia="宋体" w:hAnsi="Times New Roman"/>
          <w:color w:val="000000"/>
        </w:rPr>
        <w:t>Davis Polk）香港办公室执业逾十年，为众多境内外顶尖投资银行、大型国企民企、金融机构和科技企业提供法律服务，参与过多项在亚洲地区具有里程碑意义的债务及股权证券发行和并购项目。</w:t>
      </w:r>
    </w:p>
    <w:p w14:paraId="6F2F6C2B" w14:textId="77777777" w:rsidR="00093B7F" w:rsidRDefault="00093B7F" w:rsidP="00093B7F">
      <w:pPr>
        <w:pStyle w:val="af5"/>
        <w:spacing w:after="0" w:line="480" w:lineRule="auto"/>
        <w:rPr>
          <w:rFonts w:ascii="宋体" w:eastAsia="宋体" w:hAnsi="宋体"/>
          <w:b/>
          <w:sz w:val="24"/>
        </w:rPr>
      </w:pPr>
      <w:r w:rsidRPr="00093B7F">
        <w:rPr>
          <w:rFonts w:ascii="宋体" w:eastAsia="宋体" w:hAnsi="宋体" w:hint="eastAsia"/>
          <w:b/>
          <w:sz w:val="24"/>
        </w:rPr>
        <w:t>其他信息</w:t>
      </w:r>
    </w:p>
    <w:p w14:paraId="6038BEB2" w14:textId="77777777" w:rsidR="00093B7F" w:rsidRDefault="00093B7F" w:rsidP="00093B7F">
      <w:pPr>
        <w:pStyle w:val="af5"/>
        <w:spacing w:after="0" w:line="480" w:lineRule="auto"/>
        <w:rPr>
          <w:rFonts w:ascii="宋体" w:eastAsia="宋体" w:hAnsi="宋体"/>
          <w:b/>
          <w:sz w:val="24"/>
        </w:rPr>
      </w:pPr>
      <w:r w:rsidRPr="00093B7F">
        <w:rPr>
          <w:rFonts w:ascii="宋体" w:eastAsia="宋体" w:hAnsi="宋体" w:hint="eastAsia"/>
          <w:b/>
          <w:sz w:val="24"/>
        </w:rPr>
        <w:t>出版物</w:t>
      </w:r>
    </w:p>
    <w:p w14:paraId="788903E0" w14:textId="77777777" w:rsidR="00093B7F" w:rsidRDefault="00093B7F" w:rsidP="00093B7F">
      <w:pPr>
        <w:pStyle w:val="af5"/>
        <w:numPr>
          <w:ilvl w:val="0"/>
          <w:numId w:val="15"/>
        </w:numPr>
        <w:spacing w:before="120"/>
        <w:ind w:left="690" w:hanging="240"/>
        <w:rPr>
          <w:rFonts w:ascii="宋体" w:eastAsia="宋体" w:hAnsi="Times New Roman"/>
          <w:color w:val="000000"/>
        </w:rPr>
      </w:pPr>
      <w:r w:rsidRPr="00093B7F">
        <w:rPr>
          <w:rFonts w:ascii="宋体" w:eastAsia="宋体" w:hAnsi="Times New Roman"/>
          <w:color w:val="000000"/>
        </w:rPr>
        <w:t xml:space="preserve">受邀参与美国国家经济研究局NBER《融资在中国》研究项目并与美国特拉华州著名大法官William Allen合著《论至上而下规管的中国证券市场》，由美国芝加哥大学出版社出版 </w:t>
      </w:r>
    </w:p>
    <w:p w14:paraId="53F86EEC" w14:textId="77777777" w:rsidR="00093B7F" w:rsidRDefault="00093B7F" w:rsidP="00093B7F">
      <w:pPr>
        <w:pStyle w:val="af5"/>
        <w:numPr>
          <w:ilvl w:val="0"/>
          <w:numId w:val="16"/>
        </w:numPr>
        <w:spacing w:before="120"/>
        <w:ind w:left="690" w:hanging="240"/>
        <w:rPr>
          <w:rFonts w:ascii="宋体" w:eastAsia="宋体" w:hAnsi="Times New Roman"/>
          <w:color w:val="000000"/>
        </w:rPr>
      </w:pPr>
      <w:r w:rsidRPr="00093B7F">
        <w:rPr>
          <w:rFonts w:ascii="宋体" w:eastAsia="宋体" w:hAnsi="Times New Roman"/>
          <w:color w:val="000000"/>
        </w:rPr>
        <w:t xml:space="preserve">在美国《商法与证券法》期刊发表《中美内幕交易执法比较研究》 </w:t>
      </w:r>
    </w:p>
    <w:p w14:paraId="6416EAD2" w14:textId="77777777" w:rsidR="00093B7F" w:rsidRDefault="00093B7F" w:rsidP="00093B7F">
      <w:pPr>
        <w:pStyle w:val="af5"/>
        <w:numPr>
          <w:ilvl w:val="0"/>
          <w:numId w:val="17"/>
        </w:numPr>
        <w:spacing w:before="120"/>
        <w:ind w:left="690" w:hanging="240"/>
        <w:rPr>
          <w:rFonts w:ascii="宋体" w:eastAsia="宋体" w:hAnsi="Times New Roman"/>
          <w:color w:val="000000"/>
        </w:rPr>
      </w:pPr>
      <w:r w:rsidRPr="00093B7F">
        <w:rPr>
          <w:rFonts w:ascii="宋体" w:eastAsia="宋体" w:hAnsi="Times New Roman"/>
          <w:color w:val="000000"/>
        </w:rPr>
        <w:t xml:space="preserve">在悉尼大学中国中心年会上发表《中国企业在国际资本市场项目中的法律与实践》的演讲 </w:t>
      </w:r>
    </w:p>
    <w:p w14:paraId="737AC289" w14:textId="77777777" w:rsidR="00093B7F" w:rsidRDefault="00093B7F" w:rsidP="00093B7F">
      <w:pPr>
        <w:pStyle w:val="af5"/>
        <w:numPr>
          <w:ilvl w:val="0"/>
          <w:numId w:val="18"/>
        </w:numPr>
        <w:spacing w:before="120"/>
        <w:ind w:left="690" w:hanging="240"/>
        <w:rPr>
          <w:rFonts w:ascii="宋体" w:eastAsia="宋体" w:hAnsi="Times New Roman"/>
          <w:color w:val="000000"/>
        </w:rPr>
      </w:pPr>
      <w:r w:rsidRPr="00093B7F">
        <w:rPr>
          <w:rFonts w:ascii="宋体" w:eastAsia="宋体" w:hAnsi="Times New Roman"/>
          <w:color w:val="000000"/>
        </w:rPr>
        <w:t>在香港大学和北京大学联合举办的</w:t>
      </w:r>
      <w:r w:rsidRPr="00093B7F">
        <w:rPr>
          <w:rFonts w:ascii="宋体" w:eastAsia="宋体" w:hAnsi="Times New Roman"/>
          <w:color w:val="000000"/>
        </w:rPr>
        <w:t>“</w:t>
      </w:r>
      <w:r w:rsidRPr="00093B7F">
        <w:rPr>
          <w:rFonts w:ascii="宋体" w:eastAsia="宋体" w:hAnsi="Times New Roman"/>
          <w:color w:val="000000"/>
        </w:rPr>
        <w:t>宪法改革与金融规管年大会</w:t>
      </w:r>
      <w:r w:rsidRPr="00093B7F">
        <w:rPr>
          <w:rFonts w:ascii="宋体" w:eastAsia="宋体" w:hAnsi="Times New Roman"/>
          <w:color w:val="000000"/>
        </w:rPr>
        <w:t>”</w:t>
      </w:r>
      <w:r w:rsidRPr="00093B7F">
        <w:rPr>
          <w:rFonts w:ascii="宋体" w:eastAsia="宋体" w:hAnsi="Times New Roman"/>
          <w:color w:val="000000"/>
        </w:rPr>
        <w:t xml:space="preserve">上发表《论中国证券争端解决机制》的演讲 </w:t>
      </w:r>
    </w:p>
    <w:p w14:paraId="4F0A196B" w14:textId="78857BF7" w:rsidR="00A46A04" w:rsidRPr="00093B7F" w:rsidRDefault="00093B7F" w:rsidP="00093B7F">
      <w:pPr>
        <w:pStyle w:val="af5"/>
        <w:numPr>
          <w:ilvl w:val="0"/>
          <w:numId w:val="19"/>
        </w:numPr>
        <w:spacing w:before="120"/>
        <w:ind w:left="690" w:hanging="240"/>
        <w:rPr>
          <w:rFonts w:ascii="宋体" w:eastAsia="宋体" w:hAnsi="Times New Roman"/>
          <w:color w:val="000000"/>
        </w:rPr>
      </w:pPr>
      <w:r w:rsidRPr="00093B7F">
        <w:rPr>
          <w:rFonts w:ascii="宋体" w:eastAsia="宋体" w:hAnsi="Times New Roman"/>
          <w:color w:val="000000"/>
        </w:rPr>
        <w:t xml:space="preserve">长期参与世界银行"营商环境"（中国篇）调研工作 </w:t>
      </w:r>
    </w:p>
    <w:sectPr w:rsidR="00A46A04" w:rsidRPr="00093B7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A5F65"/>
    <w:multiLevelType w:val="singleLevel"/>
    <w:tmpl w:val="6FC6966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3C2046"/>
    <w:multiLevelType w:val="singleLevel"/>
    <w:tmpl w:val="AAFAE09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321C9E"/>
    <w:multiLevelType w:val="singleLevel"/>
    <w:tmpl w:val="A8B6F6D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F27BE3"/>
    <w:multiLevelType w:val="singleLevel"/>
    <w:tmpl w:val="93E68C7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934921"/>
    <w:multiLevelType w:val="singleLevel"/>
    <w:tmpl w:val="001801D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D120F0"/>
    <w:multiLevelType w:val="singleLevel"/>
    <w:tmpl w:val="AE823E3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C65BD9"/>
    <w:multiLevelType w:val="singleLevel"/>
    <w:tmpl w:val="67E2B42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2C50CA"/>
    <w:multiLevelType w:val="singleLevel"/>
    <w:tmpl w:val="A36A94B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5CC07AB"/>
    <w:multiLevelType w:val="singleLevel"/>
    <w:tmpl w:val="05DC1E3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D105994"/>
    <w:multiLevelType w:val="singleLevel"/>
    <w:tmpl w:val="67E2B42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0BE07A6"/>
    <w:multiLevelType w:val="singleLevel"/>
    <w:tmpl w:val="7C3EB1F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20923D3"/>
    <w:multiLevelType w:val="singleLevel"/>
    <w:tmpl w:val="B1E658E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CA10612"/>
    <w:multiLevelType w:val="singleLevel"/>
    <w:tmpl w:val="10F2995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35520B0"/>
    <w:multiLevelType w:val="singleLevel"/>
    <w:tmpl w:val="B270FE7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5C11D5C"/>
    <w:multiLevelType w:val="singleLevel"/>
    <w:tmpl w:val="D73CADC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B0505C8"/>
    <w:multiLevelType w:val="singleLevel"/>
    <w:tmpl w:val="C6622AA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FDA3E13"/>
    <w:multiLevelType w:val="singleLevel"/>
    <w:tmpl w:val="625AB350"/>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2"/>
  </w:num>
  <w:num w:numId="4">
    <w:abstractNumId w:val="12"/>
  </w:num>
  <w:num w:numId="5">
    <w:abstractNumId w:val="18"/>
  </w:num>
  <w:num w:numId="6">
    <w:abstractNumId w:val="14"/>
  </w:num>
  <w:num w:numId="7">
    <w:abstractNumId w:val="15"/>
  </w:num>
  <w:num w:numId="8">
    <w:abstractNumId w:val="1"/>
  </w:num>
  <w:num w:numId="9">
    <w:abstractNumId w:val="7"/>
  </w:num>
  <w:num w:numId="10">
    <w:abstractNumId w:val="16"/>
  </w:num>
  <w:num w:numId="11">
    <w:abstractNumId w:val="4"/>
  </w:num>
  <w:num w:numId="12">
    <w:abstractNumId w:val="0"/>
  </w:num>
  <w:num w:numId="13">
    <w:abstractNumId w:val="9"/>
  </w:num>
  <w:num w:numId="14">
    <w:abstractNumId w:val="3"/>
  </w:num>
  <w:num w:numId="15">
    <w:abstractNumId w:val="5"/>
  </w:num>
  <w:num w:numId="16">
    <w:abstractNumId w:val="17"/>
  </w:num>
  <w:num w:numId="17">
    <w:abstractNumId w:val="13"/>
  </w:num>
  <w:num w:numId="18">
    <w:abstractNumId w:val="6"/>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93B7F"/>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93B7F"/>
    <w:pPr>
      <w:spacing w:after="120"/>
    </w:pPr>
  </w:style>
  <w:style w:type="character" w:customStyle="1" w:styleId="af6">
    <w:name w:val="正文文本 字符"/>
    <w:basedOn w:val="a0"/>
    <w:link w:val="af5"/>
    <w:uiPriority w:val="99"/>
    <w:rsid w:val="00093B7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77A6B-B905-4F0A-8055-9D8DCF263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289</Words>
  <Characters>1652</Characters>
  <Application>Microsoft Office Word</Application>
  <DocSecurity>0</DocSecurity>
  <Lines>13</Lines>
  <Paragraphs>3</Paragraphs>
  <ScaleCrop>false</ScaleCrop>
  <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2026-06-12T03:15:00Z</dcterms:created>
  <dcterms:modified xsi:type="dcterms:W3CDTF">2026-06-12T03:15:00Z</dcterms:modified>
</cp:coreProperties>
</file>