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2898964" w:rsidR="0049405C" w:rsidRPr="00187BAA" w:rsidRDefault="002F4695" w:rsidP="002F469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F4695">
              <w:rPr>
                <w:rFonts w:ascii="宋体" w:eastAsia="宋体" w:hAnsi="Times New Roman" w:hint="eastAsia"/>
                <w:b/>
                <w:color w:val="000000"/>
                <w:sz w:val="48"/>
              </w:rPr>
              <w:t>沈菡</w:t>
            </w:r>
            <w:bookmarkEnd w:id="0"/>
          </w:p>
          <w:p w14:paraId="706EB16B" w14:textId="70C8A3D2" w:rsidR="0049405C" w:rsidRPr="00187BAA" w:rsidRDefault="002F4695" w:rsidP="002F469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F4695">
              <w:rPr>
                <w:rFonts w:ascii="宋体" w:eastAsia="宋体" w:hAnsi="Times New Roman" w:hint="eastAsia"/>
                <w:b/>
                <w:bCs/>
                <w:color w:val="000000"/>
              </w:rPr>
              <w:t>合伙人·香港</w:t>
            </w:r>
            <w:r w:rsidRPr="002F4695">
              <w:rPr>
                <w:rFonts w:ascii="宋体" w:eastAsia="宋体" w:hAnsi="Times New Roman"/>
                <w:b/>
                <w:bCs/>
                <w:color w:val="000000"/>
              </w:rPr>
              <w:t xml:space="preserve"> | 上海</w:t>
            </w:r>
            <w:bookmarkEnd w:id="2"/>
          </w:p>
          <w:p w14:paraId="6199424A" w14:textId="5C41B483" w:rsidR="0049405C" w:rsidRPr="00187BAA" w:rsidRDefault="002F4695" w:rsidP="002F469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F4695">
              <w:rPr>
                <w:rFonts w:ascii="宋体" w:eastAsia="宋体" w:hAnsi="Times New Roman"/>
                <w:color w:val="000000"/>
              </w:rPr>
              <w:t xml:space="preserve">+852 3749 1121 </w:t>
            </w:r>
            <w:bookmarkEnd w:id="3"/>
          </w:p>
          <w:p w14:paraId="4F910ACA" w14:textId="5FB6DDEE" w:rsidR="0049405C" w:rsidRPr="00187BAA" w:rsidRDefault="002F4695" w:rsidP="002F469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F4695">
              <w:rPr>
                <w:rFonts w:ascii="宋体" w:eastAsia="宋体" w:hAnsi="Times New Roman"/>
                <w:color w:val="000000"/>
              </w:rPr>
              <w:t>annie.shen@fangdalaw.com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B5261F" w:rsidR="0049405C" w:rsidRPr="00187BAA" w:rsidRDefault="002F469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845BB6" wp14:editId="700764D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AEFEA6E" w:rsidR="009465FB" w:rsidRPr="00187BAA" w:rsidRDefault="002F469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F4695">
              <w:rPr>
                <w:rFonts w:ascii="宋体" w:eastAsia="宋体" w:hAnsi="Times New Roman" w:hint="eastAsia"/>
                <w:color w:val="000000"/>
                <w:szCs w:val="21"/>
              </w:rPr>
              <w:t>沈律师的主要执业方向包括：债务及股权资本市场业务、负债管理与债务重组、数字资产、现实世界资产（</w:t>
            </w:r>
            <w:r w:rsidRPr="002F4695">
              <w:rPr>
                <w:rFonts w:ascii="宋体" w:eastAsia="宋体" w:hAnsi="Times New Roman"/>
                <w:color w:val="000000"/>
                <w:szCs w:val="21"/>
              </w:rPr>
              <w:t>RWA）及金融科技创新业务及跨境监管咨询与合规服务。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863E8C" w14:textId="77777777" w:rsidR="002F469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9A364B4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近期代理的主要案件</w:t>
      </w:r>
    </w:p>
    <w:p w14:paraId="58E9706A" w14:textId="77777777" w:rsidR="002F4695" w:rsidRDefault="002F4695" w:rsidP="002F4695">
      <w:pPr>
        <w:pStyle w:val="af5"/>
        <w:spacing w:before="12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数字资产、现实世界资产（</w:t>
      </w:r>
      <w:r w:rsidRPr="002F4695">
        <w:rPr>
          <w:rFonts w:ascii="宋体" w:eastAsia="宋体" w:hAnsi="Times New Roman"/>
          <w:color w:val="000000"/>
        </w:rPr>
        <w:t>RWA）及金融科技创新</w:t>
      </w:r>
    </w:p>
    <w:p w14:paraId="19BD82A2" w14:textId="77777777" w:rsidR="002F4695" w:rsidRDefault="002F4695" w:rsidP="002F469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全球首单碳信用通证</w:t>
      </w:r>
      <w:r w:rsidRPr="002F4695">
        <w:rPr>
          <w:rFonts w:ascii="宋体" w:eastAsia="宋体" w:hAnsi="Times New Roman"/>
          <w:color w:val="000000"/>
        </w:rPr>
        <w:t xml:space="preserve"> RWA 发行项目：担任牵头律师，搭建业内首个基于区块链的碳信用通证架构，融合绿色金融与去中心化金融（DeFi）模式，实现碳资产的链上发行与合规流转。</w:t>
      </w:r>
    </w:p>
    <w:p w14:paraId="1AA8A7E4" w14:textId="77777777" w:rsidR="002F4695" w:rsidRDefault="002F4695" w:rsidP="002F4695">
      <w:pPr>
        <w:pStyle w:val="af5"/>
        <w:spacing w:before="12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债务资本市场与债务重组</w:t>
      </w:r>
    </w:p>
    <w:p w14:paraId="11463A30" w14:textId="77777777" w:rsidR="002F4695" w:rsidRDefault="002F4695" w:rsidP="002F469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主权及优质产业债券发行：为中华人民共和国财政部提供境外主权债券发行法律服务；担任中信证券、东方财富、浙江海港集团、潍柴动力、吉利集团、远东租赁、山东财金集团、</w:t>
      </w:r>
      <w:r w:rsidRPr="002F4695">
        <w:rPr>
          <w:rFonts w:ascii="宋体" w:eastAsia="宋体" w:hAnsi="Times New Roman"/>
          <w:color w:val="000000"/>
        </w:rPr>
        <w:t>TCL 科技、昆仑能源等大型机构境外债券项目牵头律师。</w:t>
      </w:r>
    </w:p>
    <w:p w14:paraId="127F78E9" w14:textId="77777777" w:rsidR="002F4695" w:rsidRDefault="002F4695" w:rsidP="002F469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地方政府投融资平台（</w:t>
      </w:r>
      <w:r w:rsidRPr="002F4695">
        <w:rPr>
          <w:rFonts w:ascii="宋体" w:eastAsia="宋体" w:hAnsi="Times New Roman"/>
          <w:color w:val="000000"/>
        </w:rPr>
        <w:t>LGFV）债券业务：为济南能源集团、鲁商集团、西安航天高技术、宁波鄞城集团、铜陵发展集团、重庆涪陵发展集团等多家地方投融资平台主导境外债券发行项目。</w:t>
      </w:r>
    </w:p>
    <w:p w14:paraId="0C4542AB" w14:textId="77777777" w:rsidR="002F4695" w:rsidRDefault="002F4695" w:rsidP="002F469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高收益债券业务：服务融创中国、建业地产、奥园地产、泛海控股、雅居乐、中国宏桥、旭辉集团、合景泰富、耐世特汽车系统集团、瑞安地产、西部水泥、新湖中宝等房企及产业企业高收益债券发行。</w:t>
      </w:r>
    </w:p>
    <w:p w14:paraId="582C8A91" w14:textId="77777777" w:rsidR="002F4695" w:rsidRDefault="002F4695" w:rsidP="002F469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债务重组业务：服务建业地产、融创中国、</w:t>
      </w:r>
      <w:r w:rsidRPr="002F4695">
        <w:rPr>
          <w:rFonts w:ascii="宋体" w:eastAsia="宋体" w:hAnsi="Times New Roman"/>
          <w:color w:val="000000"/>
        </w:rPr>
        <w:t>SOHO中国等发行人债券重组项目。</w:t>
      </w:r>
    </w:p>
    <w:p w14:paraId="3AA85EBE" w14:textId="77777777" w:rsidR="002F4695" w:rsidRDefault="002F4695" w:rsidP="002F4695">
      <w:pPr>
        <w:pStyle w:val="af5"/>
        <w:spacing w:before="12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股权业务与跨境并购</w:t>
      </w:r>
    </w:p>
    <w:p w14:paraId="782BC289" w14:textId="77777777" w:rsidR="002F4695" w:rsidRDefault="002F4695" w:rsidP="002F469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美国上市项目：为百度、前程无忧、猎豹移动、友达光电、展讯通信、第九城市、盛大集团、奇景光电等企业提供美国上市及</w:t>
      </w:r>
      <w:r w:rsidRPr="002F4695">
        <w:rPr>
          <w:rFonts w:ascii="宋体" w:eastAsia="宋体" w:hAnsi="Times New Roman"/>
          <w:color w:val="000000"/>
        </w:rPr>
        <w:t>/或后续增发法律服务。</w:t>
      </w:r>
    </w:p>
    <w:p w14:paraId="6AB0284C" w14:textId="77777777" w:rsidR="002F4695" w:rsidRDefault="002F4695" w:rsidP="002F469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香港上市及全球发行项目：为中国农业银行、中国工商银行、中国建设银行、中国人民保险集团、国银租赁、广州农村商业银行、中板控股、招商银行等机构完成标杆性香港上市及全球发售项目。</w:t>
      </w:r>
    </w:p>
    <w:p w14:paraId="186181E5" w14:textId="77777777" w:rsidR="002F4695" w:rsidRDefault="002F4695" w:rsidP="002F469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跨境战略并购：协助高盛、中投等处理重大跨境投资交易；协助美联储完成与美国国际集团（</w:t>
      </w:r>
      <w:r w:rsidRPr="002F4695">
        <w:rPr>
          <w:rFonts w:ascii="宋体" w:eastAsia="宋体" w:hAnsi="Times New Roman"/>
          <w:color w:val="000000"/>
        </w:rPr>
        <w:t>AIG）债转股交易，收购友邦保险（AIA）优先权益。</w:t>
      </w:r>
    </w:p>
    <w:p w14:paraId="2D8B7D51" w14:textId="77777777" w:rsidR="002F4695" w:rsidRDefault="002F4695" w:rsidP="002F469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股权关联类交易：承办招商银行配股、网秦可转债、广州农村商业银行与郑州银行优先股发行等项目；为韩国产业银行、韩国进出口银行完成经美国证监会注册的储架发行及分次发行项目。</w:t>
      </w:r>
    </w:p>
    <w:p w14:paraId="4A2C87B7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教育背景</w:t>
      </w:r>
    </w:p>
    <w:p w14:paraId="3BDB148E" w14:textId="77777777" w:rsidR="002F4695" w:rsidRDefault="002F4695" w:rsidP="002F469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上海对外经贸大学，法学学士学位</w:t>
      </w:r>
    </w:p>
    <w:p w14:paraId="1E47AD34" w14:textId="77777777" w:rsidR="002F4695" w:rsidRDefault="002F4695" w:rsidP="002F469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香港城市大学，法哲学硕士学位</w:t>
      </w:r>
    </w:p>
    <w:p w14:paraId="35230FEF" w14:textId="77777777" w:rsidR="002F4695" w:rsidRDefault="002F4695" w:rsidP="002F469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美国纽约大学，法学硕士学位</w:t>
      </w:r>
    </w:p>
    <w:p w14:paraId="6DE68285" w14:textId="77777777" w:rsidR="002F4695" w:rsidRDefault="002F4695" w:rsidP="002F469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澳洲悉尼大学，法学院访问学者</w:t>
      </w:r>
    </w:p>
    <w:p w14:paraId="27D09130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执业资格</w:t>
      </w:r>
    </w:p>
    <w:p w14:paraId="296586FE" w14:textId="77777777" w:rsidR="002F4695" w:rsidRDefault="002F4695" w:rsidP="002F469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香港特别行政区执业律师资格</w:t>
      </w:r>
    </w:p>
    <w:p w14:paraId="6FA210ED" w14:textId="77777777" w:rsidR="002F4695" w:rsidRDefault="002F4695" w:rsidP="002F469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中华人民共和国执业律师</w:t>
      </w:r>
    </w:p>
    <w:p w14:paraId="35B9E71A" w14:textId="77777777" w:rsidR="002F4695" w:rsidRDefault="002F4695" w:rsidP="002F469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美国纽约州执业律师</w:t>
      </w:r>
    </w:p>
    <w:p w14:paraId="408BED6D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职业背景</w:t>
      </w:r>
    </w:p>
    <w:p w14:paraId="059BCB78" w14:textId="77777777" w:rsidR="002F4695" w:rsidRDefault="002F4695" w:rsidP="002F469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 w:hint="eastAsia"/>
          <w:color w:val="000000"/>
        </w:rPr>
        <w:t>沈菡律师是深耕资本市场领域的资深合伙人，融合华尔街法律服务标准与亚洲市场实操经验，拥有二十余年执业经验。加入方达律师事务所前，她在美国顶尖华尔街律所</w:t>
      </w:r>
      <w:r w:rsidRPr="002F4695">
        <w:rPr>
          <w:rFonts w:ascii="宋体" w:eastAsia="宋体" w:hAnsi="Times New Roman"/>
          <w:color w:val="000000"/>
        </w:rPr>
        <w:t>Davis Polk (达维)任职十余年；目前已在方达律师事务所担任合伙人近九年，主要执业债务市场、数字资产和金融创新相关业务线。 沈菡律师是传统金融与数字经济融合领域的先行者，主导设计多项全球首创、亚洲首创的现实世界资产（RWA）及资产通证化交易架构。凭借三地执业资质与专业能力，她连续获评IFLR1000 2022</w:t>
      </w:r>
      <w:r w:rsidRPr="002F4695">
        <w:rPr>
          <w:rFonts w:ascii="宋体" w:eastAsia="宋体" w:hAnsi="Times New Roman"/>
          <w:color w:val="000000"/>
        </w:rPr>
        <w:t>–</w:t>
      </w:r>
      <w:r w:rsidRPr="002F4695">
        <w:rPr>
          <w:rFonts w:ascii="宋体" w:eastAsia="宋体" w:hAnsi="Times New Roman"/>
          <w:color w:val="000000"/>
        </w:rPr>
        <w:t xml:space="preserve">2026 年度香港债务业务 </w:t>
      </w:r>
      <w:r w:rsidRPr="002F4695">
        <w:rPr>
          <w:rFonts w:ascii="宋体" w:eastAsia="宋体" w:hAnsi="Times New Roman"/>
          <w:color w:val="000000"/>
        </w:rPr>
        <w:t>“</w:t>
      </w:r>
      <w:r w:rsidRPr="002F4695">
        <w:rPr>
          <w:rFonts w:ascii="宋体" w:eastAsia="宋体" w:hAnsi="Times New Roman"/>
          <w:color w:val="000000"/>
        </w:rPr>
        <w:t>女性领军人物</w:t>
      </w:r>
      <w:r w:rsidRPr="002F4695">
        <w:rPr>
          <w:rFonts w:ascii="宋体" w:eastAsia="宋体" w:hAnsi="Times New Roman" w:hint="eastAsia"/>
          <w:color w:val="000000"/>
        </w:rPr>
        <w:t>”</w:t>
      </w:r>
      <w:r w:rsidRPr="002F4695">
        <w:rPr>
          <w:rFonts w:ascii="宋体" w:eastAsia="宋体" w:hAnsi="Times New Roman"/>
          <w:color w:val="000000"/>
        </w:rPr>
        <w:t xml:space="preserve"> 及 </w:t>
      </w:r>
      <w:r w:rsidRPr="002F4695">
        <w:rPr>
          <w:rFonts w:ascii="宋体" w:eastAsia="宋体" w:hAnsi="Times New Roman"/>
          <w:color w:val="000000"/>
        </w:rPr>
        <w:t>“</w:t>
      </w:r>
      <w:r w:rsidRPr="002F4695">
        <w:rPr>
          <w:rFonts w:ascii="宋体" w:eastAsia="宋体" w:hAnsi="Times New Roman"/>
          <w:color w:val="000000"/>
        </w:rPr>
        <w:t>高度推荐律师</w:t>
      </w:r>
      <w:r w:rsidRPr="002F4695">
        <w:rPr>
          <w:rFonts w:ascii="宋体" w:eastAsia="宋体" w:hAnsi="Times New Roman"/>
          <w:color w:val="000000"/>
        </w:rPr>
        <w:t>”</w:t>
      </w:r>
      <w:r w:rsidRPr="002F4695">
        <w:rPr>
          <w:rFonts w:ascii="宋体" w:eastAsia="宋体" w:hAnsi="Times New Roman"/>
          <w:color w:val="000000"/>
        </w:rPr>
        <w:t>。</w:t>
      </w:r>
    </w:p>
    <w:p w14:paraId="6FA69B63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其他信息</w:t>
      </w:r>
    </w:p>
    <w:p w14:paraId="40008776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出版物</w:t>
      </w:r>
    </w:p>
    <w:p w14:paraId="5C3D69C3" w14:textId="77777777" w:rsidR="002F4695" w:rsidRDefault="002F4695" w:rsidP="002F469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/>
          <w:color w:val="000000"/>
        </w:rPr>
        <w:t>合著《论中国自上而下监管模式下的证券市场》，与美国特拉华州法院大法官、纽约大学法学院教授威廉</w:t>
      </w:r>
      <w:r w:rsidRPr="002F4695">
        <w:rPr>
          <w:rFonts w:ascii="微软雅黑" w:eastAsia="微软雅黑" w:hAnsi="微软雅黑" w:cs="微软雅黑" w:hint="eastAsia"/>
          <w:color w:val="000000"/>
        </w:rPr>
        <w:t>・</w:t>
      </w:r>
      <w:r w:rsidRPr="002F4695">
        <w:rPr>
          <w:rFonts w:ascii="宋体" w:eastAsia="宋体" w:hAnsi="宋体" w:cs="宋体" w:hint="eastAsia"/>
          <w:color w:val="000000"/>
        </w:rPr>
        <w:t>艾</w:t>
      </w:r>
      <w:r w:rsidRPr="002F4695">
        <w:rPr>
          <w:rFonts w:ascii="宋体" w:eastAsia="宋体" w:hAnsi="Times New Roman" w:hint="eastAsia"/>
          <w:color w:val="000000"/>
        </w:rPr>
        <w:t>伦（</w:t>
      </w:r>
      <w:r w:rsidRPr="002F4695">
        <w:rPr>
          <w:rFonts w:ascii="宋体" w:eastAsia="宋体" w:hAnsi="Times New Roman"/>
          <w:color w:val="000000"/>
        </w:rPr>
        <w:t xml:space="preserve">William T. Allen）联合撰写，收录于美国国家经济研究局（NBER）《融资在中国》丛书，由芝加哥大学出版社出版。 </w:t>
      </w:r>
    </w:p>
    <w:p w14:paraId="2D58FE85" w14:textId="77777777" w:rsidR="002F4695" w:rsidRDefault="002F4695" w:rsidP="002F469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/>
          <w:color w:val="000000"/>
        </w:rPr>
        <w:t xml:space="preserve">数字资产领域分享：2026 年于数字资产行业协会研讨会发表主题演讲《内地监管边界：数字资产监管限制与跨境执法实务》。 </w:t>
      </w:r>
    </w:p>
    <w:p w14:paraId="03D0D4D7" w14:textId="77777777" w:rsidR="002F4695" w:rsidRDefault="002F4695" w:rsidP="002F469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/>
          <w:color w:val="000000"/>
        </w:rPr>
        <w:t xml:space="preserve">长期参与世界银行《营商环境》（中国篇）调研项目。 </w:t>
      </w:r>
    </w:p>
    <w:p w14:paraId="178B0DF5" w14:textId="77777777" w:rsidR="002F4695" w:rsidRDefault="002F4695" w:rsidP="002F469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4695">
        <w:rPr>
          <w:rFonts w:ascii="宋体" w:eastAsia="宋体" w:hAnsi="宋体" w:hint="eastAsia"/>
          <w:b/>
          <w:sz w:val="24"/>
        </w:rPr>
        <w:t>其他履职</w:t>
      </w:r>
    </w:p>
    <w:p w14:paraId="6708F06B" w14:textId="77777777" w:rsidR="002F4695" w:rsidRDefault="002F4695" w:rsidP="002F469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/>
          <w:color w:val="000000"/>
        </w:rPr>
        <w:t xml:space="preserve">纽约市律师协会 亚洲事务委员会委员（任期：2026-2029） </w:t>
      </w:r>
    </w:p>
    <w:p w14:paraId="4F0A196B" w14:textId="4E131A07" w:rsidR="00A46A04" w:rsidRPr="002F4695" w:rsidRDefault="002F4695" w:rsidP="002F469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4695">
        <w:rPr>
          <w:rFonts w:ascii="宋体" w:eastAsia="宋体" w:hAnsi="Times New Roman"/>
          <w:color w:val="000000"/>
        </w:rPr>
        <w:t xml:space="preserve">数字资产行业协会(DAA) 会员 </w:t>
      </w:r>
    </w:p>
    <w:sectPr w:rsidR="00A46A04" w:rsidRPr="002F469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9C2"/>
    <w:multiLevelType w:val="singleLevel"/>
    <w:tmpl w:val="5DA62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261AEF"/>
    <w:multiLevelType w:val="singleLevel"/>
    <w:tmpl w:val="26F25F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7F30B6"/>
    <w:multiLevelType w:val="singleLevel"/>
    <w:tmpl w:val="96C46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187E09"/>
    <w:multiLevelType w:val="singleLevel"/>
    <w:tmpl w:val="C5A61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022A02"/>
    <w:multiLevelType w:val="singleLevel"/>
    <w:tmpl w:val="AD96D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9B63D8"/>
    <w:multiLevelType w:val="singleLevel"/>
    <w:tmpl w:val="A84E4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8C2079"/>
    <w:multiLevelType w:val="singleLevel"/>
    <w:tmpl w:val="A89C0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A1613F"/>
    <w:multiLevelType w:val="singleLevel"/>
    <w:tmpl w:val="8514C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975FCC"/>
    <w:multiLevelType w:val="singleLevel"/>
    <w:tmpl w:val="CFD00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810126"/>
    <w:multiLevelType w:val="singleLevel"/>
    <w:tmpl w:val="EC8C5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A201240"/>
    <w:multiLevelType w:val="singleLevel"/>
    <w:tmpl w:val="9BB29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2706DD"/>
    <w:multiLevelType w:val="singleLevel"/>
    <w:tmpl w:val="40406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FB54F39"/>
    <w:multiLevelType w:val="singleLevel"/>
    <w:tmpl w:val="03F4E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2E06BC"/>
    <w:multiLevelType w:val="singleLevel"/>
    <w:tmpl w:val="83306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187621"/>
    <w:multiLevelType w:val="singleLevel"/>
    <w:tmpl w:val="9BB29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D70EF7"/>
    <w:multiLevelType w:val="singleLevel"/>
    <w:tmpl w:val="6D304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C20B7C"/>
    <w:multiLevelType w:val="singleLevel"/>
    <w:tmpl w:val="562EB8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96577B"/>
    <w:multiLevelType w:val="singleLevel"/>
    <w:tmpl w:val="929E1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990F10"/>
    <w:multiLevelType w:val="singleLevel"/>
    <w:tmpl w:val="4F284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373DFC"/>
    <w:multiLevelType w:val="singleLevel"/>
    <w:tmpl w:val="37807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3250A7"/>
    <w:multiLevelType w:val="singleLevel"/>
    <w:tmpl w:val="BA8AB7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441EDA"/>
    <w:multiLevelType w:val="singleLevel"/>
    <w:tmpl w:val="752ED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707030"/>
    <w:multiLevelType w:val="singleLevel"/>
    <w:tmpl w:val="BB100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3"/>
  </w:num>
  <w:num w:numId="5">
    <w:abstractNumId w:val="23"/>
  </w:num>
  <w:num w:numId="6">
    <w:abstractNumId w:val="17"/>
  </w:num>
  <w:num w:numId="7">
    <w:abstractNumId w:val="21"/>
  </w:num>
  <w:num w:numId="8">
    <w:abstractNumId w:val="18"/>
  </w:num>
  <w:num w:numId="9">
    <w:abstractNumId w:val="5"/>
  </w:num>
  <w:num w:numId="10">
    <w:abstractNumId w:val="22"/>
  </w:num>
  <w:num w:numId="11">
    <w:abstractNumId w:val="4"/>
  </w:num>
  <w:num w:numId="12">
    <w:abstractNumId w:val="2"/>
  </w:num>
  <w:num w:numId="13">
    <w:abstractNumId w:val="0"/>
  </w:num>
  <w:num w:numId="14">
    <w:abstractNumId w:val="7"/>
  </w:num>
  <w:num w:numId="15">
    <w:abstractNumId w:val="14"/>
  </w:num>
  <w:num w:numId="16">
    <w:abstractNumId w:val="6"/>
  </w:num>
  <w:num w:numId="17">
    <w:abstractNumId w:val="9"/>
  </w:num>
  <w:num w:numId="18">
    <w:abstractNumId w:val="8"/>
  </w:num>
  <w:num w:numId="19">
    <w:abstractNumId w:val="12"/>
  </w:num>
  <w:num w:numId="20">
    <w:abstractNumId w:val="19"/>
  </w:num>
  <w:num w:numId="21">
    <w:abstractNumId w:val="24"/>
  </w:num>
  <w:num w:numId="22">
    <w:abstractNumId w:val="15"/>
  </w:num>
  <w:num w:numId="23">
    <w:abstractNumId w:val="20"/>
  </w:num>
  <w:num w:numId="24">
    <w:abstractNumId w:val="11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2F4695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F469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F469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4800DA-D78C-4B82-A6CC-02930EAD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2026-10-17T08:52:00Z</dcterms:created>
  <dcterms:modified xsi:type="dcterms:W3CDTF">2026-10-17T08:52:00Z</dcterms:modified>
</cp:coreProperties>
</file>