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4EA0A3" w:rsidR="0049405C" w:rsidRPr="00187BAA" w:rsidRDefault="000D399A" w:rsidP="000D399A">
            <w:pPr>
              <w:spacing w:line="720" w:lineRule="auto"/>
              <w:rPr>
                <w:rFonts w:ascii="宋体" w:eastAsia="宋体" w:hAnsi="宋体"/>
                <w:color w:val="545551"/>
              </w:rPr>
            </w:pPr>
            <w:bookmarkStart w:id="0" w:name="xingming"/>
            <w:bookmarkStart w:id="1" w:name="_GoBack"/>
            <w:bookmarkEnd w:id="1"/>
            <w:r w:rsidRPr="000D399A">
              <w:rPr>
                <w:rFonts w:ascii="宋体" w:eastAsia="宋体" w:hAnsi="Times New Roman" w:hint="eastAsia"/>
                <w:b/>
                <w:color w:val="000000"/>
                <w:sz w:val="48"/>
              </w:rPr>
              <w:t>张振宇</w:t>
            </w:r>
            <w:bookmarkEnd w:id="0"/>
          </w:p>
          <w:p w14:paraId="706EB16B" w14:textId="6F758E63" w:rsidR="0049405C" w:rsidRPr="00187BAA" w:rsidRDefault="000D399A" w:rsidP="000D399A">
            <w:pPr>
              <w:spacing w:line="360" w:lineRule="auto"/>
              <w:rPr>
                <w:rFonts w:ascii="宋体" w:eastAsia="宋体" w:hAnsi="宋体"/>
                <w:b/>
                <w:bCs/>
                <w:color w:val="545551"/>
              </w:rPr>
            </w:pPr>
            <w:bookmarkStart w:id="2" w:name="didian"/>
            <w:r w:rsidRPr="000D399A">
              <w:rPr>
                <w:rFonts w:ascii="宋体" w:eastAsia="宋体" w:hAnsi="Times New Roman" w:hint="eastAsia"/>
                <w:b/>
                <w:bCs/>
                <w:color w:val="000000"/>
              </w:rPr>
              <w:t>合伙人·上海</w:t>
            </w:r>
            <w:bookmarkEnd w:id="2"/>
          </w:p>
          <w:p w14:paraId="6199424A" w14:textId="0BE471DD" w:rsidR="0049405C" w:rsidRPr="00187BAA" w:rsidRDefault="000D399A" w:rsidP="000D399A">
            <w:pPr>
              <w:spacing w:line="360" w:lineRule="auto"/>
              <w:rPr>
                <w:rFonts w:ascii="宋体" w:eastAsia="宋体" w:hAnsi="宋体"/>
                <w:color w:val="545551"/>
              </w:rPr>
            </w:pPr>
            <w:bookmarkStart w:id="3" w:name="dianhua"/>
            <w:r w:rsidRPr="000D399A">
              <w:rPr>
                <w:rFonts w:ascii="宋体" w:eastAsia="宋体" w:hAnsi="Times New Roman"/>
                <w:color w:val="000000"/>
              </w:rPr>
              <w:t xml:space="preserve">+86 21 2208 1152 </w:t>
            </w:r>
            <w:bookmarkEnd w:id="3"/>
          </w:p>
          <w:p w14:paraId="4F910ACA" w14:textId="55F0F58A" w:rsidR="0049405C" w:rsidRPr="00187BAA" w:rsidRDefault="000D399A" w:rsidP="000D399A">
            <w:pPr>
              <w:spacing w:line="360" w:lineRule="auto"/>
              <w:rPr>
                <w:rFonts w:ascii="宋体" w:eastAsia="宋体" w:hAnsi="宋体"/>
                <w:color w:val="000000"/>
              </w:rPr>
            </w:pPr>
            <w:bookmarkStart w:id="4" w:name="youxiang"/>
            <w:r w:rsidRPr="000D399A">
              <w:rPr>
                <w:rFonts w:ascii="宋体" w:eastAsia="宋体" w:hAnsi="Times New Roman"/>
                <w:color w:val="000000"/>
              </w:rPr>
              <w:t>andrew.zhang@fangdalaw.com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7A6113" w:rsidR="0049405C" w:rsidRPr="00187BAA" w:rsidRDefault="000D39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EAD717" wp14:editId="08E048E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8429BE" w:rsidR="009465FB" w:rsidRPr="00187BAA" w:rsidRDefault="000D399A" w:rsidP="007177F3">
            <w:pPr>
              <w:rPr>
                <w:rFonts w:ascii="宋体" w:eastAsia="宋体" w:hAnsi="宋体"/>
                <w:color w:val="000000"/>
                <w:szCs w:val="21"/>
              </w:rPr>
            </w:pPr>
            <w:bookmarkStart w:id="6" w:name="zhiyelingyu"/>
            <w:r w:rsidRPr="000D399A">
              <w:rPr>
                <w:rFonts w:ascii="宋体" w:eastAsia="宋体" w:hAnsi="Times New Roman" w:hint="eastAsia"/>
                <w:color w:val="000000"/>
                <w:szCs w:val="21"/>
              </w:rPr>
              <w:t>张律师的专业领域是企业并购和合资事务，尤其擅长出于战略投资目的的复杂并购交易。张律师在破产资产收购和企业重组方面也有相当的经验。张律师是《钱伯斯大中华区指南</w:t>
            </w:r>
            <w:r w:rsidRPr="000D399A">
              <w:rPr>
                <w:rFonts w:ascii="宋体" w:eastAsia="宋体" w:hAnsi="Times New Roman"/>
                <w:color w:val="000000"/>
                <w:szCs w:val="21"/>
              </w:rPr>
              <w:t xml:space="preserve"> 2024》公司并购领域的上榜律师。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623EAC" w14:textId="77777777" w:rsidR="000D39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4B76B8" w14:textId="77777777" w:rsidR="000D399A" w:rsidRDefault="000D399A" w:rsidP="000D399A">
      <w:pPr>
        <w:pStyle w:val="af5"/>
        <w:spacing w:after="0" w:line="480" w:lineRule="auto"/>
        <w:rPr>
          <w:rFonts w:ascii="宋体" w:eastAsia="宋体" w:hAnsi="宋体"/>
          <w:b/>
          <w:sz w:val="24"/>
        </w:rPr>
      </w:pPr>
      <w:r w:rsidRPr="000D399A">
        <w:rPr>
          <w:rFonts w:ascii="宋体" w:eastAsia="宋体" w:hAnsi="宋体" w:hint="eastAsia"/>
          <w:b/>
          <w:sz w:val="24"/>
        </w:rPr>
        <w:t>近期代理的主要案件</w:t>
      </w:r>
    </w:p>
    <w:p w14:paraId="7E5658C2" w14:textId="77777777" w:rsidR="000D399A" w:rsidRDefault="000D399A" w:rsidP="000D399A">
      <w:pPr>
        <w:pStyle w:val="af5"/>
        <w:spacing w:before="120"/>
        <w:rPr>
          <w:rFonts w:ascii="宋体" w:eastAsia="宋体" w:hAnsi="Times New Roman"/>
          <w:color w:val="000000"/>
        </w:rPr>
      </w:pPr>
      <w:r w:rsidRPr="000D399A">
        <w:rPr>
          <w:rFonts w:ascii="宋体" w:eastAsia="宋体" w:hAnsi="Times New Roman" w:hint="eastAsia"/>
          <w:color w:val="000000"/>
        </w:rPr>
        <w:t>并购（化工行业）</w:t>
      </w:r>
    </w:p>
    <w:p w14:paraId="49F43F69" w14:textId="77777777" w:rsidR="000D399A" w:rsidRDefault="000D399A" w:rsidP="000D399A">
      <w:pPr>
        <w:pStyle w:val="af5"/>
        <w:numPr>
          <w:ilvl w:val="0"/>
          <w:numId w:val="4"/>
        </w:numPr>
        <w:spacing w:before="120"/>
        <w:ind w:left="690" w:hanging="240"/>
        <w:rPr>
          <w:rFonts w:ascii="宋体" w:eastAsia="宋体" w:hAnsi="Times New Roman"/>
          <w:color w:val="000000"/>
        </w:rPr>
      </w:pPr>
      <w:r w:rsidRPr="000D399A">
        <w:rPr>
          <w:rFonts w:ascii="宋体" w:eastAsia="宋体" w:hAnsi="Times New Roman" w:hint="eastAsia"/>
          <w:color w:val="000000"/>
        </w:rPr>
        <w:t>代表全球第二大水务集团法国苏伊士公司</w:t>
      </w:r>
      <w:r w:rsidRPr="000D399A">
        <w:rPr>
          <w:rFonts w:ascii="宋体" w:eastAsia="宋体" w:hAnsi="Times New Roman"/>
          <w:color w:val="000000"/>
        </w:rPr>
        <w:t>(SUEZ)拆分其中国水务和固废、危废处理项目，并和全球最大水务集团威立雅(VEOLIA)进行合并</w:t>
      </w:r>
    </w:p>
    <w:p w14:paraId="5B6F84DA" w14:textId="77777777" w:rsidR="000D399A" w:rsidRDefault="000D399A" w:rsidP="000D399A">
      <w:pPr>
        <w:pStyle w:val="af5"/>
        <w:numPr>
          <w:ilvl w:val="0"/>
          <w:numId w:val="5"/>
        </w:numPr>
        <w:spacing w:before="120"/>
        <w:ind w:left="690" w:hanging="240"/>
        <w:rPr>
          <w:rFonts w:ascii="宋体" w:eastAsia="宋体" w:hAnsi="Times New Roman"/>
          <w:color w:val="000000"/>
        </w:rPr>
      </w:pPr>
      <w:r w:rsidRPr="000D399A">
        <w:rPr>
          <w:rFonts w:ascii="宋体" w:eastAsia="宋体" w:hAnsi="Times New Roman" w:hint="eastAsia"/>
          <w:color w:val="000000"/>
        </w:rPr>
        <w:t>代表赛得利</w:t>
      </w:r>
      <w:r w:rsidRPr="000D399A">
        <w:rPr>
          <w:rFonts w:ascii="宋体" w:eastAsia="宋体" w:hAnsi="Times New Roman"/>
          <w:color w:val="000000"/>
        </w:rPr>
        <w:t>(Sateri)通过破产程序完成了对一家位于江苏省的化纤制造企业的资产的收购，收购金额为数十亿元；并代表Sateri完成了对一家位于江西省的处于严重财务困境中的化纤制造企业进行了股权收购</w:t>
      </w:r>
    </w:p>
    <w:p w14:paraId="5BDC4816" w14:textId="77777777" w:rsidR="000D399A" w:rsidRDefault="000D399A" w:rsidP="000D399A">
      <w:pPr>
        <w:pStyle w:val="af5"/>
        <w:numPr>
          <w:ilvl w:val="0"/>
          <w:numId w:val="6"/>
        </w:numPr>
        <w:spacing w:before="120"/>
        <w:ind w:left="690" w:hanging="240"/>
        <w:rPr>
          <w:rFonts w:ascii="宋体" w:eastAsia="宋体" w:hAnsi="Times New Roman"/>
          <w:color w:val="000000"/>
        </w:rPr>
      </w:pPr>
      <w:r w:rsidRPr="000D399A">
        <w:rPr>
          <w:rFonts w:ascii="宋体" w:eastAsia="宋体" w:hAnsi="Times New Roman" w:hint="eastAsia"/>
          <w:color w:val="000000"/>
        </w:rPr>
        <w:t>代表空气化工</w:t>
      </w:r>
      <w:r w:rsidRPr="000D399A">
        <w:rPr>
          <w:rFonts w:ascii="宋体" w:eastAsia="宋体" w:hAnsi="Times New Roman"/>
          <w:color w:val="000000"/>
        </w:rPr>
        <w:t>(Air Products)对其与兖矿、晋煤、华谊等国内骨干企业的合资提供服务，并代表Air Products通过在建工程收购、国有资产招拍挂程序等方式进行了一系列资产收购</w:t>
      </w:r>
    </w:p>
    <w:p w14:paraId="7ADE541D" w14:textId="77777777" w:rsidR="000D399A" w:rsidRDefault="000D399A" w:rsidP="000D399A">
      <w:pPr>
        <w:pStyle w:val="af5"/>
        <w:numPr>
          <w:ilvl w:val="0"/>
          <w:numId w:val="7"/>
        </w:numPr>
        <w:spacing w:before="120"/>
        <w:ind w:left="690" w:hanging="240"/>
        <w:rPr>
          <w:rFonts w:ascii="宋体" w:eastAsia="宋体" w:hAnsi="Times New Roman"/>
          <w:color w:val="000000"/>
        </w:rPr>
      </w:pPr>
      <w:r w:rsidRPr="000D399A">
        <w:rPr>
          <w:rFonts w:ascii="宋体" w:eastAsia="宋体" w:hAnsi="Times New Roman" w:hint="eastAsia"/>
          <w:color w:val="000000"/>
        </w:rPr>
        <w:t>代表杜邦</w:t>
      </w:r>
      <w:r w:rsidRPr="000D399A">
        <w:rPr>
          <w:rFonts w:ascii="宋体" w:eastAsia="宋体" w:hAnsi="Times New Roman"/>
          <w:color w:val="000000"/>
        </w:rPr>
        <w:t>(DuPont)在其与陶氏的合并中分拆并出售其中国农药业务提供服务</w:t>
      </w:r>
    </w:p>
    <w:p w14:paraId="6D5951C0" w14:textId="77777777" w:rsidR="000D399A" w:rsidRDefault="000D399A" w:rsidP="000D399A">
      <w:pPr>
        <w:pStyle w:val="af5"/>
        <w:numPr>
          <w:ilvl w:val="0"/>
          <w:numId w:val="8"/>
        </w:numPr>
        <w:spacing w:before="120"/>
        <w:ind w:left="690" w:hanging="240"/>
        <w:rPr>
          <w:rFonts w:ascii="宋体" w:eastAsia="宋体" w:hAnsi="Times New Roman"/>
          <w:color w:val="000000"/>
        </w:rPr>
      </w:pPr>
      <w:r w:rsidRPr="000D399A">
        <w:rPr>
          <w:rFonts w:ascii="宋体" w:eastAsia="宋体" w:hAnsi="Times New Roman" w:hint="eastAsia"/>
          <w:color w:val="000000"/>
        </w:rPr>
        <w:t>代表浦项化学</w:t>
      </w:r>
      <w:r w:rsidRPr="000D399A">
        <w:rPr>
          <w:rFonts w:ascii="宋体" w:eastAsia="宋体" w:hAnsi="Times New Roman"/>
          <w:color w:val="000000"/>
        </w:rPr>
        <w:t>(POSCO)向境内上市公司收购硅碳负极材料生产商深圳斯诺</w:t>
      </w:r>
    </w:p>
    <w:p w14:paraId="0996BFE8" w14:textId="77777777" w:rsidR="000D399A" w:rsidRDefault="000D399A" w:rsidP="000D399A">
      <w:pPr>
        <w:pStyle w:val="af5"/>
        <w:numPr>
          <w:ilvl w:val="0"/>
          <w:numId w:val="9"/>
        </w:numPr>
        <w:spacing w:before="120"/>
        <w:ind w:left="690" w:hanging="240"/>
        <w:rPr>
          <w:rFonts w:ascii="宋体" w:eastAsia="宋体" w:hAnsi="Times New Roman"/>
          <w:color w:val="000000"/>
        </w:rPr>
      </w:pPr>
      <w:r w:rsidRPr="000D399A">
        <w:rPr>
          <w:rFonts w:ascii="宋体" w:eastAsia="宋体" w:hAnsi="Times New Roman" w:hint="eastAsia"/>
          <w:color w:val="000000"/>
        </w:rPr>
        <w:t>代表伊士曼化学（</w:t>
      </w:r>
      <w:r w:rsidRPr="000D399A">
        <w:rPr>
          <w:rFonts w:ascii="宋体" w:eastAsia="宋体" w:hAnsi="Times New Roman"/>
          <w:color w:val="000000"/>
        </w:rPr>
        <w:t>Eastman Chemical）收购三菱气体在二者之合资企业中的股权，并就化工品进出口和技术许可安排提供咨询意见</w:t>
      </w:r>
    </w:p>
    <w:p w14:paraId="54A35BEA" w14:textId="77777777" w:rsidR="000D399A" w:rsidRDefault="000D399A" w:rsidP="000D399A">
      <w:pPr>
        <w:pStyle w:val="af5"/>
        <w:numPr>
          <w:ilvl w:val="0"/>
          <w:numId w:val="10"/>
        </w:numPr>
        <w:spacing w:before="120"/>
        <w:ind w:left="690" w:hanging="240"/>
        <w:rPr>
          <w:rFonts w:ascii="宋体" w:eastAsia="宋体" w:hAnsi="Times New Roman"/>
          <w:color w:val="000000"/>
        </w:rPr>
      </w:pPr>
      <w:r w:rsidRPr="000D399A">
        <w:rPr>
          <w:rFonts w:ascii="宋体" w:eastAsia="宋体" w:hAnsi="Times New Roman" w:hint="eastAsia"/>
          <w:color w:val="000000"/>
        </w:rPr>
        <w:t>为英国高分子材料公司威格斯</w:t>
      </w:r>
      <w:r w:rsidRPr="000D399A">
        <w:rPr>
          <w:rFonts w:ascii="宋体" w:eastAsia="宋体" w:hAnsi="Times New Roman"/>
          <w:color w:val="000000"/>
        </w:rPr>
        <w:t>(VICTREX)提供收购、合资等一系列交易提供服务</w:t>
      </w:r>
    </w:p>
    <w:p w14:paraId="57955822" w14:textId="77777777" w:rsidR="000D399A" w:rsidRDefault="000D399A" w:rsidP="000D399A">
      <w:pPr>
        <w:pStyle w:val="af5"/>
        <w:numPr>
          <w:ilvl w:val="0"/>
          <w:numId w:val="11"/>
        </w:numPr>
        <w:spacing w:before="120"/>
        <w:ind w:left="690" w:hanging="240"/>
        <w:rPr>
          <w:rFonts w:ascii="宋体" w:eastAsia="宋体" w:hAnsi="Times New Roman"/>
          <w:color w:val="000000"/>
        </w:rPr>
      </w:pPr>
      <w:r w:rsidRPr="000D399A">
        <w:rPr>
          <w:rFonts w:ascii="宋体" w:eastAsia="宋体" w:hAnsi="Times New Roman" w:hint="eastAsia"/>
          <w:color w:val="000000"/>
        </w:rPr>
        <w:t>为德国特种化学品公司赢创</w:t>
      </w:r>
      <w:r w:rsidRPr="000D399A">
        <w:rPr>
          <w:rFonts w:ascii="宋体" w:eastAsia="宋体" w:hAnsi="Times New Roman"/>
          <w:color w:val="000000"/>
        </w:rPr>
        <w:t>(EVONIC)在中国境内的股权投资项目提供服务</w:t>
      </w:r>
    </w:p>
    <w:p w14:paraId="26B32895" w14:textId="77777777" w:rsidR="000D399A" w:rsidRDefault="000D399A" w:rsidP="000D399A">
      <w:pPr>
        <w:pStyle w:val="af5"/>
        <w:numPr>
          <w:ilvl w:val="0"/>
          <w:numId w:val="12"/>
        </w:numPr>
        <w:spacing w:before="120"/>
        <w:ind w:left="690" w:hanging="240"/>
        <w:rPr>
          <w:rFonts w:ascii="宋体" w:eastAsia="宋体" w:hAnsi="Times New Roman"/>
          <w:color w:val="000000"/>
        </w:rPr>
      </w:pPr>
      <w:r w:rsidRPr="000D399A">
        <w:rPr>
          <w:rFonts w:ascii="宋体" w:eastAsia="宋体" w:hAnsi="Times New Roman" w:hint="eastAsia"/>
          <w:color w:val="000000"/>
        </w:rPr>
        <w:t>代表壳牌</w:t>
      </w:r>
      <w:r w:rsidRPr="000D399A">
        <w:rPr>
          <w:rFonts w:ascii="宋体" w:eastAsia="宋体" w:hAnsi="Times New Roman"/>
          <w:color w:val="000000"/>
        </w:rPr>
        <w:t xml:space="preserve"> (Shell) 为其与中石化在江苏省成立一家成品油零售的战略性合资企业提供服务，该合资项目涉及500余家加油站的收购</w:t>
      </w:r>
    </w:p>
    <w:p w14:paraId="1E3329ED" w14:textId="77777777" w:rsidR="000D399A" w:rsidRDefault="000D399A" w:rsidP="000D399A">
      <w:pPr>
        <w:pStyle w:val="af5"/>
        <w:spacing w:before="120"/>
        <w:rPr>
          <w:rFonts w:ascii="宋体" w:eastAsia="宋体" w:hAnsi="Times New Roman"/>
          <w:color w:val="000000"/>
        </w:rPr>
      </w:pPr>
      <w:r w:rsidRPr="000D399A">
        <w:rPr>
          <w:rFonts w:ascii="宋体" w:eastAsia="宋体" w:hAnsi="Times New Roman" w:hint="eastAsia"/>
          <w:color w:val="000000"/>
        </w:rPr>
        <w:t>并购（制造业和消费品）</w:t>
      </w:r>
    </w:p>
    <w:p w14:paraId="157EE93D" w14:textId="77777777" w:rsidR="000D399A" w:rsidRDefault="000D399A" w:rsidP="000D399A">
      <w:pPr>
        <w:pStyle w:val="af5"/>
        <w:numPr>
          <w:ilvl w:val="0"/>
          <w:numId w:val="13"/>
        </w:numPr>
        <w:spacing w:before="120"/>
        <w:ind w:left="690" w:hanging="240"/>
        <w:rPr>
          <w:rFonts w:ascii="宋体" w:eastAsia="宋体" w:hAnsi="Times New Roman"/>
          <w:color w:val="000000"/>
        </w:rPr>
      </w:pPr>
      <w:r w:rsidRPr="000D399A">
        <w:rPr>
          <w:rFonts w:ascii="宋体" w:eastAsia="宋体" w:hAnsi="Times New Roman" w:hint="eastAsia"/>
          <w:color w:val="000000"/>
        </w:rPr>
        <w:t>代表</w:t>
      </w:r>
      <w:r w:rsidRPr="000D399A">
        <w:rPr>
          <w:rFonts w:ascii="宋体" w:eastAsia="宋体" w:hAnsi="Times New Roman"/>
          <w:color w:val="000000"/>
        </w:rPr>
        <w:t xml:space="preserve"> ABB 在电气、自动化领域进行一系列收购与剥离出售项目，包括代表ABB 重组并向中国买家出售全球低压充电桩业务；向A股上市公司广电电气出售三家合资公司中的权益，该交易构成了广电电气的重大资产重组；与上海电气等合作伙伴间的资产交易</w:t>
      </w:r>
    </w:p>
    <w:p w14:paraId="47871D18" w14:textId="77777777" w:rsidR="000D399A" w:rsidRDefault="000D399A" w:rsidP="000D399A">
      <w:pPr>
        <w:pStyle w:val="af5"/>
        <w:numPr>
          <w:ilvl w:val="0"/>
          <w:numId w:val="14"/>
        </w:numPr>
        <w:spacing w:before="120"/>
        <w:ind w:left="690" w:hanging="240"/>
        <w:rPr>
          <w:rFonts w:ascii="宋体" w:eastAsia="宋体" w:hAnsi="Times New Roman"/>
          <w:color w:val="000000"/>
        </w:rPr>
      </w:pPr>
      <w:r w:rsidRPr="000D399A">
        <w:rPr>
          <w:rFonts w:ascii="宋体" w:eastAsia="宋体" w:hAnsi="Times New Roman" w:hint="eastAsia"/>
          <w:color w:val="000000"/>
        </w:rPr>
        <w:t>代表飞利浦</w:t>
      </w:r>
      <w:r w:rsidRPr="000D399A">
        <w:rPr>
          <w:rFonts w:ascii="宋体" w:eastAsia="宋体" w:hAnsi="Times New Roman"/>
          <w:color w:val="000000"/>
        </w:rPr>
        <w:t>(Philips) 分拆其全球家电业务的中国部分并向高瓴出售；代表飞利浦向一家中国上市公司出售其中国及东南亚净水产品业务；并代表飞利浦完成了其对奔腾电器的战略性收购</w:t>
      </w:r>
    </w:p>
    <w:p w14:paraId="14154582" w14:textId="77777777" w:rsidR="000D399A" w:rsidRDefault="000D399A" w:rsidP="000D399A">
      <w:pPr>
        <w:pStyle w:val="af5"/>
        <w:numPr>
          <w:ilvl w:val="0"/>
          <w:numId w:val="15"/>
        </w:numPr>
        <w:spacing w:before="120"/>
        <w:ind w:left="690" w:hanging="240"/>
        <w:rPr>
          <w:rFonts w:ascii="宋体" w:eastAsia="宋体" w:hAnsi="Times New Roman"/>
          <w:color w:val="000000"/>
        </w:rPr>
      </w:pPr>
      <w:r w:rsidRPr="000D399A">
        <w:rPr>
          <w:rFonts w:ascii="宋体" w:eastAsia="宋体" w:hAnsi="Times New Roman" w:hint="eastAsia"/>
          <w:color w:val="000000"/>
        </w:rPr>
        <w:t>代表昕诺飞</w:t>
      </w:r>
      <w:r w:rsidRPr="000D399A">
        <w:rPr>
          <w:rFonts w:ascii="宋体" w:eastAsia="宋体" w:hAnsi="Times New Roman"/>
          <w:color w:val="000000"/>
        </w:rPr>
        <w:t xml:space="preserve"> (Signify,原飞利浦照明) 完成对凯耀照明的战略性收购</w:t>
      </w:r>
    </w:p>
    <w:p w14:paraId="112851F2" w14:textId="77777777" w:rsidR="000D399A" w:rsidRDefault="000D399A" w:rsidP="000D399A">
      <w:pPr>
        <w:pStyle w:val="af5"/>
        <w:numPr>
          <w:ilvl w:val="0"/>
          <w:numId w:val="16"/>
        </w:numPr>
        <w:spacing w:before="120"/>
        <w:ind w:left="690" w:hanging="240"/>
        <w:rPr>
          <w:rFonts w:ascii="宋体" w:eastAsia="宋体" w:hAnsi="Times New Roman"/>
          <w:color w:val="000000"/>
        </w:rPr>
      </w:pPr>
      <w:r w:rsidRPr="000D399A">
        <w:rPr>
          <w:rFonts w:ascii="宋体" w:eastAsia="宋体" w:hAnsi="Times New Roman" w:hint="eastAsia"/>
          <w:color w:val="000000"/>
        </w:rPr>
        <w:t>代表</w:t>
      </w:r>
      <w:r w:rsidRPr="000D399A">
        <w:rPr>
          <w:rFonts w:ascii="宋体" w:eastAsia="宋体" w:hAnsi="Times New Roman"/>
          <w:color w:val="000000"/>
        </w:rPr>
        <w:t>Sony出售其手机镜头模组与中国买家，以及出售其数家境内合资公司的权益和资产</w:t>
      </w:r>
    </w:p>
    <w:p w14:paraId="11FC3357" w14:textId="77777777" w:rsidR="000D399A" w:rsidRDefault="000D399A" w:rsidP="000D399A">
      <w:pPr>
        <w:pStyle w:val="af5"/>
        <w:numPr>
          <w:ilvl w:val="0"/>
          <w:numId w:val="17"/>
        </w:numPr>
        <w:spacing w:before="120"/>
        <w:ind w:left="690" w:hanging="240"/>
        <w:rPr>
          <w:rFonts w:ascii="宋体" w:eastAsia="宋体" w:hAnsi="Times New Roman"/>
          <w:color w:val="000000"/>
        </w:rPr>
      </w:pPr>
      <w:r w:rsidRPr="000D399A">
        <w:rPr>
          <w:rFonts w:ascii="宋体" w:eastAsia="宋体" w:hAnsi="Times New Roman" w:hint="eastAsia"/>
          <w:color w:val="000000"/>
        </w:rPr>
        <w:t>代表国内企业均胜电子</w:t>
      </w:r>
      <w:r w:rsidRPr="000D399A">
        <w:rPr>
          <w:rFonts w:ascii="宋体" w:eastAsia="宋体" w:hAnsi="Times New Roman"/>
          <w:color w:val="000000"/>
        </w:rPr>
        <w:t>(Joyson)为其对汽车安全产品的全球主流生产商日本高田气囊的全球资产收购提供服务，该收购在欧洲、日本和美国以破产财产收购的方式进行，在中国以重组和资产收购的方式进行</w:t>
      </w:r>
    </w:p>
    <w:p w14:paraId="690CD6BE" w14:textId="77777777" w:rsidR="000D399A" w:rsidRDefault="000D399A" w:rsidP="000D399A">
      <w:pPr>
        <w:pStyle w:val="af5"/>
        <w:numPr>
          <w:ilvl w:val="0"/>
          <w:numId w:val="18"/>
        </w:numPr>
        <w:spacing w:before="120"/>
        <w:ind w:left="690" w:hanging="240"/>
        <w:rPr>
          <w:rFonts w:ascii="宋体" w:eastAsia="宋体" w:hAnsi="Times New Roman"/>
          <w:color w:val="000000"/>
        </w:rPr>
      </w:pPr>
      <w:r w:rsidRPr="000D399A">
        <w:rPr>
          <w:rFonts w:ascii="宋体" w:eastAsia="宋体" w:hAnsi="Times New Roman" w:hint="eastAsia"/>
          <w:color w:val="000000"/>
        </w:rPr>
        <w:t>代表奥的斯</w:t>
      </w:r>
      <w:r w:rsidRPr="000D399A">
        <w:rPr>
          <w:rFonts w:ascii="宋体" w:eastAsia="宋体" w:hAnsi="Times New Roman"/>
          <w:color w:val="000000"/>
        </w:rPr>
        <w:t>(OTIS) 进行一系列对电梯维保企业的收购和合资合作</w:t>
      </w:r>
    </w:p>
    <w:p w14:paraId="2E10DDD0" w14:textId="77777777" w:rsidR="000D399A" w:rsidRDefault="000D399A" w:rsidP="000D399A">
      <w:pPr>
        <w:pStyle w:val="af5"/>
        <w:numPr>
          <w:ilvl w:val="0"/>
          <w:numId w:val="19"/>
        </w:numPr>
        <w:spacing w:before="120"/>
        <w:ind w:left="690" w:hanging="240"/>
        <w:rPr>
          <w:rFonts w:ascii="宋体" w:eastAsia="宋体" w:hAnsi="Times New Roman"/>
          <w:color w:val="000000"/>
        </w:rPr>
      </w:pPr>
      <w:r w:rsidRPr="000D399A">
        <w:rPr>
          <w:rFonts w:ascii="宋体" w:eastAsia="宋体" w:hAnsi="Times New Roman" w:hint="eastAsia"/>
          <w:color w:val="000000"/>
        </w:rPr>
        <w:t>代表好时</w:t>
      </w:r>
      <w:r w:rsidRPr="000D399A">
        <w:rPr>
          <w:rFonts w:ascii="宋体" w:eastAsia="宋体" w:hAnsi="Times New Roman"/>
          <w:color w:val="000000"/>
        </w:rPr>
        <w:t xml:space="preserve"> (Hershey)为其对一家中国领先的食品生产企业的收购和后续分拆出售提供法律服务</w:t>
      </w:r>
    </w:p>
    <w:p w14:paraId="660A4940" w14:textId="77777777" w:rsidR="000D399A" w:rsidRDefault="000D399A" w:rsidP="000D399A">
      <w:pPr>
        <w:pStyle w:val="af5"/>
        <w:numPr>
          <w:ilvl w:val="0"/>
          <w:numId w:val="20"/>
        </w:numPr>
        <w:spacing w:before="120"/>
        <w:ind w:left="690" w:hanging="240"/>
        <w:rPr>
          <w:rFonts w:ascii="宋体" w:eastAsia="宋体" w:hAnsi="Times New Roman"/>
          <w:color w:val="000000"/>
        </w:rPr>
      </w:pPr>
      <w:r w:rsidRPr="000D399A">
        <w:rPr>
          <w:rFonts w:ascii="宋体" w:eastAsia="宋体" w:hAnsi="Times New Roman" w:hint="eastAsia"/>
          <w:color w:val="000000"/>
        </w:rPr>
        <w:t>代表</w:t>
      </w:r>
      <w:r w:rsidRPr="000D399A">
        <w:rPr>
          <w:rFonts w:ascii="宋体" w:eastAsia="宋体" w:hAnsi="Times New Roman"/>
          <w:color w:val="000000"/>
        </w:rPr>
        <w:t>The Home Depot 为其在中国北方九个城市收购家居连锁企业的项目提供法律服务</w:t>
      </w:r>
    </w:p>
    <w:p w14:paraId="00E062DA" w14:textId="77777777" w:rsidR="000D399A" w:rsidRDefault="000D399A" w:rsidP="000D399A">
      <w:pPr>
        <w:pStyle w:val="af5"/>
        <w:numPr>
          <w:ilvl w:val="0"/>
          <w:numId w:val="21"/>
        </w:numPr>
        <w:spacing w:before="120"/>
        <w:ind w:left="690" w:hanging="240"/>
        <w:rPr>
          <w:rFonts w:ascii="宋体" w:eastAsia="宋体" w:hAnsi="Times New Roman"/>
          <w:color w:val="000000"/>
        </w:rPr>
      </w:pPr>
      <w:r w:rsidRPr="000D399A">
        <w:rPr>
          <w:rFonts w:ascii="宋体" w:eastAsia="宋体" w:hAnsi="Times New Roman" w:hint="eastAsia"/>
          <w:color w:val="000000"/>
        </w:rPr>
        <w:t>参与高盛</w:t>
      </w:r>
      <w:r w:rsidRPr="000D399A">
        <w:rPr>
          <w:rFonts w:ascii="宋体" w:eastAsia="宋体" w:hAnsi="Times New Roman"/>
          <w:color w:val="000000"/>
        </w:rPr>
        <w:t xml:space="preserve"> (Goldman Sachs)对南京雨润的投资项目提供的法律服务</w:t>
      </w:r>
    </w:p>
    <w:p w14:paraId="0DF486A9" w14:textId="77777777" w:rsidR="000D399A" w:rsidRDefault="000D399A" w:rsidP="000D399A">
      <w:pPr>
        <w:pStyle w:val="af5"/>
        <w:spacing w:before="120"/>
        <w:rPr>
          <w:rFonts w:ascii="宋体" w:eastAsia="宋体" w:hAnsi="Times New Roman"/>
          <w:color w:val="000000"/>
        </w:rPr>
      </w:pPr>
      <w:r w:rsidRPr="000D399A">
        <w:rPr>
          <w:rFonts w:ascii="宋体" w:eastAsia="宋体" w:hAnsi="Times New Roman" w:hint="eastAsia"/>
          <w:color w:val="000000"/>
        </w:rPr>
        <w:t>战略投资（金融）</w:t>
      </w:r>
    </w:p>
    <w:p w14:paraId="24FF78AB" w14:textId="77777777" w:rsidR="000D399A" w:rsidRDefault="000D399A" w:rsidP="000D399A">
      <w:pPr>
        <w:pStyle w:val="af5"/>
        <w:numPr>
          <w:ilvl w:val="0"/>
          <w:numId w:val="22"/>
        </w:numPr>
        <w:spacing w:before="120"/>
        <w:ind w:left="690" w:hanging="240"/>
        <w:rPr>
          <w:rFonts w:ascii="宋体" w:eastAsia="宋体" w:hAnsi="Times New Roman"/>
          <w:color w:val="000000"/>
        </w:rPr>
      </w:pPr>
      <w:r w:rsidRPr="000D399A">
        <w:rPr>
          <w:rFonts w:ascii="宋体" w:eastAsia="宋体" w:hAnsi="Times New Roman" w:hint="eastAsia"/>
          <w:color w:val="000000"/>
        </w:rPr>
        <w:t>代表摩根士丹利为其设立一家外资参股证券公司提供法律服务</w:t>
      </w:r>
    </w:p>
    <w:p w14:paraId="63BC7029" w14:textId="77777777" w:rsidR="000D399A" w:rsidRDefault="000D399A" w:rsidP="000D399A">
      <w:pPr>
        <w:pStyle w:val="af5"/>
        <w:numPr>
          <w:ilvl w:val="0"/>
          <w:numId w:val="23"/>
        </w:numPr>
        <w:spacing w:before="120"/>
        <w:ind w:left="690" w:hanging="240"/>
        <w:rPr>
          <w:rFonts w:ascii="宋体" w:eastAsia="宋体" w:hAnsi="Times New Roman"/>
          <w:color w:val="000000"/>
        </w:rPr>
      </w:pPr>
      <w:r w:rsidRPr="000D399A">
        <w:rPr>
          <w:rFonts w:ascii="宋体" w:eastAsia="宋体" w:hAnsi="Times New Roman" w:hint="eastAsia"/>
          <w:color w:val="000000"/>
        </w:rPr>
        <w:t>代表台湾裕隆集团出售其汽车金融公司于北汽集团</w:t>
      </w:r>
    </w:p>
    <w:p w14:paraId="16D19E1D" w14:textId="77777777" w:rsidR="000D399A" w:rsidRDefault="000D399A" w:rsidP="000D399A">
      <w:pPr>
        <w:pStyle w:val="af5"/>
        <w:numPr>
          <w:ilvl w:val="0"/>
          <w:numId w:val="24"/>
        </w:numPr>
        <w:spacing w:before="120"/>
        <w:ind w:left="690" w:hanging="240"/>
        <w:rPr>
          <w:rFonts w:ascii="宋体" w:eastAsia="宋体" w:hAnsi="Times New Roman"/>
          <w:color w:val="000000"/>
        </w:rPr>
      </w:pPr>
      <w:r w:rsidRPr="000D399A">
        <w:rPr>
          <w:rFonts w:ascii="宋体" w:eastAsia="宋体" w:hAnsi="Times New Roman" w:hint="eastAsia"/>
          <w:color w:val="000000"/>
        </w:rPr>
        <w:t>代表凯雷为其对太平洋人寿和太平洋保险集团的投资提供法律服务</w:t>
      </w:r>
    </w:p>
    <w:p w14:paraId="33B9303B" w14:textId="77777777" w:rsidR="000D399A" w:rsidRDefault="000D399A" w:rsidP="000D399A">
      <w:pPr>
        <w:pStyle w:val="af5"/>
        <w:numPr>
          <w:ilvl w:val="0"/>
          <w:numId w:val="25"/>
        </w:numPr>
        <w:spacing w:before="120"/>
        <w:ind w:left="690" w:hanging="240"/>
        <w:rPr>
          <w:rFonts w:ascii="宋体" w:eastAsia="宋体" w:hAnsi="Times New Roman"/>
          <w:color w:val="000000"/>
        </w:rPr>
      </w:pPr>
      <w:r w:rsidRPr="000D399A">
        <w:rPr>
          <w:rFonts w:ascii="宋体" w:eastAsia="宋体" w:hAnsi="Times New Roman" w:hint="eastAsia"/>
          <w:color w:val="000000"/>
        </w:rPr>
        <w:t>代表渣打银行为其在渤海银行的战略投资提供法律服务</w:t>
      </w:r>
    </w:p>
    <w:p w14:paraId="645AC7EE" w14:textId="77777777" w:rsidR="000D399A" w:rsidRDefault="000D399A" w:rsidP="000D399A">
      <w:pPr>
        <w:pStyle w:val="af5"/>
        <w:numPr>
          <w:ilvl w:val="0"/>
          <w:numId w:val="26"/>
        </w:numPr>
        <w:spacing w:before="120"/>
        <w:ind w:left="690" w:hanging="240"/>
        <w:rPr>
          <w:rFonts w:ascii="宋体" w:eastAsia="宋体" w:hAnsi="Times New Roman"/>
          <w:color w:val="000000"/>
        </w:rPr>
      </w:pPr>
      <w:r w:rsidRPr="000D399A">
        <w:rPr>
          <w:rFonts w:ascii="宋体" w:eastAsia="宋体" w:hAnsi="Times New Roman" w:hint="eastAsia"/>
          <w:color w:val="000000"/>
        </w:rPr>
        <w:t>代表摩根收购一家国内期货公司；为摩根大通设立其在中国的独资零售银行并吸收重组其既有商业银行业务提供法律服务</w:t>
      </w:r>
    </w:p>
    <w:p w14:paraId="1E957BDD" w14:textId="77777777" w:rsidR="000D399A" w:rsidRDefault="000D399A" w:rsidP="000D399A">
      <w:pPr>
        <w:pStyle w:val="af5"/>
        <w:spacing w:before="120"/>
        <w:rPr>
          <w:rFonts w:ascii="宋体" w:eastAsia="宋体" w:hAnsi="Times New Roman"/>
          <w:color w:val="000000"/>
        </w:rPr>
      </w:pPr>
      <w:r w:rsidRPr="000D399A">
        <w:rPr>
          <w:rFonts w:ascii="宋体" w:eastAsia="宋体" w:hAnsi="Times New Roman" w:hint="eastAsia"/>
          <w:color w:val="000000"/>
        </w:rPr>
        <w:t>并购（能源和基建）</w:t>
      </w:r>
    </w:p>
    <w:p w14:paraId="57F56D68" w14:textId="77777777" w:rsidR="000D399A" w:rsidRDefault="000D399A" w:rsidP="000D399A">
      <w:pPr>
        <w:pStyle w:val="af5"/>
        <w:numPr>
          <w:ilvl w:val="0"/>
          <w:numId w:val="27"/>
        </w:numPr>
        <w:spacing w:before="120"/>
        <w:ind w:left="690" w:hanging="240"/>
        <w:rPr>
          <w:rFonts w:ascii="宋体" w:eastAsia="宋体" w:hAnsi="Times New Roman"/>
          <w:color w:val="000000"/>
        </w:rPr>
      </w:pPr>
      <w:r w:rsidRPr="000D399A">
        <w:rPr>
          <w:rFonts w:ascii="宋体" w:eastAsia="宋体" w:hAnsi="Times New Roman" w:hint="eastAsia"/>
          <w:color w:val="000000"/>
        </w:rPr>
        <w:t>代表中广核三期基金为其出售三家风电场和三家光伏发电企业提供全面的法律服务</w:t>
      </w:r>
    </w:p>
    <w:p w14:paraId="618DB979" w14:textId="77777777" w:rsidR="000D399A" w:rsidRDefault="000D399A" w:rsidP="000D399A">
      <w:pPr>
        <w:pStyle w:val="af5"/>
        <w:numPr>
          <w:ilvl w:val="0"/>
          <w:numId w:val="28"/>
        </w:numPr>
        <w:spacing w:before="120"/>
        <w:ind w:left="690" w:hanging="240"/>
        <w:rPr>
          <w:rFonts w:ascii="宋体" w:eastAsia="宋体" w:hAnsi="Times New Roman"/>
          <w:color w:val="000000"/>
        </w:rPr>
      </w:pPr>
      <w:r w:rsidRPr="000D399A">
        <w:rPr>
          <w:rFonts w:ascii="宋体" w:eastAsia="宋体" w:hAnsi="Times New Roman" w:hint="eastAsia"/>
          <w:color w:val="000000"/>
        </w:rPr>
        <w:t>代表香港金融管理局旗下基金收购华能位于江苏省的多个海上及陆上风电项目</w:t>
      </w:r>
    </w:p>
    <w:p w14:paraId="67F61626" w14:textId="77777777" w:rsidR="000D399A" w:rsidRDefault="000D399A" w:rsidP="000D399A">
      <w:pPr>
        <w:pStyle w:val="af5"/>
        <w:numPr>
          <w:ilvl w:val="0"/>
          <w:numId w:val="29"/>
        </w:numPr>
        <w:spacing w:before="120"/>
        <w:ind w:left="690" w:hanging="240"/>
        <w:rPr>
          <w:rFonts w:ascii="宋体" w:eastAsia="宋体" w:hAnsi="Times New Roman"/>
          <w:color w:val="000000"/>
        </w:rPr>
      </w:pPr>
      <w:r w:rsidRPr="000D399A">
        <w:rPr>
          <w:rFonts w:ascii="宋体" w:eastAsia="宋体" w:hAnsi="Times New Roman" w:hint="eastAsia"/>
          <w:color w:val="000000"/>
        </w:rPr>
        <w:t>为上海国盛对若干内蒙古的外资背景的风电站项目的收购提供服务</w:t>
      </w:r>
    </w:p>
    <w:p w14:paraId="079AC6A3" w14:textId="77777777" w:rsidR="000D399A" w:rsidRDefault="000D399A" w:rsidP="000D399A">
      <w:pPr>
        <w:pStyle w:val="af5"/>
        <w:numPr>
          <w:ilvl w:val="0"/>
          <w:numId w:val="30"/>
        </w:numPr>
        <w:spacing w:before="120"/>
        <w:ind w:left="690" w:hanging="240"/>
        <w:rPr>
          <w:rFonts w:ascii="宋体" w:eastAsia="宋体" w:hAnsi="Times New Roman"/>
          <w:color w:val="000000"/>
        </w:rPr>
      </w:pPr>
      <w:r w:rsidRPr="000D399A">
        <w:rPr>
          <w:rFonts w:ascii="宋体" w:eastAsia="宋体" w:hAnsi="Times New Roman" w:hint="eastAsia"/>
          <w:color w:val="000000"/>
        </w:rPr>
        <w:t>为</w:t>
      </w:r>
      <w:r w:rsidRPr="000D399A">
        <w:rPr>
          <w:rFonts w:ascii="宋体" w:eastAsia="宋体" w:hAnsi="Times New Roman"/>
          <w:color w:val="000000"/>
        </w:rPr>
        <w:t>SUN EDDISON 拟议中的收购一系列水力发电项目提供服务</w:t>
      </w:r>
    </w:p>
    <w:p w14:paraId="3903F927" w14:textId="77777777" w:rsidR="000D399A" w:rsidRDefault="000D399A" w:rsidP="000D399A">
      <w:pPr>
        <w:pStyle w:val="af5"/>
        <w:numPr>
          <w:ilvl w:val="0"/>
          <w:numId w:val="31"/>
        </w:numPr>
        <w:spacing w:before="120"/>
        <w:ind w:left="690" w:hanging="240"/>
        <w:rPr>
          <w:rFonts w:ascii="宋体" w:eastAsia="宋体" w:hAnsi="Times New Roman"/>
          <w:color w:val="000000"/>
        </w:rPr>
      </w:pPr>
      <w:r w:rsidRPr="000D399A">
        <w:rPr>
          <w:rFonts w:ascii="宋体" w:eastAsia="宋体" w:hAnsi="Times New Roman" w:hint="eastAsia"/>
          <w:color w:val="000000"/>
        </w:rPr>
        <w:t>代表美亚对其若干对大陆的火力发电和生物质能发电项目的投资和出售提供法律服务</w:t>
      </w:r>
    </w:p>
    <w:p w14:paraId="70E55BC9" w14:textId="77777777" w:rsidR="000D399A" w:rsidRDefault="000D399A" w:rsidP="000D399A">
      <w:pPr>
        <w:pStyle w:val="af5"/>
        <w:numPr>
          <w:ilvl w:val="0"/>
          <w:numId w:val="32"/>
        </w:numPr>
        <w:spacing w:before="120"/>
        <w:ind w:left="690" w:hanging="240"/>
        <w:rPr>
          <w:rFonts w:ascii="宋体" w:eastAsia="宋体" w:hAnsi="Times New Roman"/>
          <w:color w:val="000000"/>
        </w:rPr>
      </w:pPr>
      <w:r w:rsidRPr="000D399A">
        <w:rPr>
          <w:rFonts w:ascii="宋体" w:eastAsia="宋体" w:hAnsi="Times New Roman" w:hint="eastAsia"/>
          <w:color w:val="000000"/>
        </w:rPr>
        <w:t>代表中国最大的能源公司之一为其在一家境外电力公司股权收购的竞标中提供法律服务</w:t>
      </w:r>
    </w:p>
    <w:p w14:paraId="7ED6589E" w14:textId="77777777" w:rsidR="000D399A" w:rsidRDefault="000D399A" w:rsidP="000D399A">
      <w:pPr>
        <w:pStyle w:val="af5"/>
        <w:numPr>
          <w:ilvl w:val="0"/>
          <w:numId w:val="33"/>
        </w:numPr>
        <w:spacing w:before="120"/>
        <w:ind w:left="690" w:hanging="240"/>
        <w:rPr>
          <w:rFonts w:ascii="宋体" w:eastAsia="宋体" w:hAnsi="Times New Roman"/>
          <w:color w:val="000000"/>
        </w:rPr>
      </w:pPr>
      <w:r w:rsidRPr="000D399A">
        <w:rPr>
          <w:rFonts w:ascii="宋体" w:eastAsia="宋体" w:hAnsi="Times New Roman" w:hint="eastAsia"/>
          <w:color w:val="000000"/>
        </w:rPr>
        <w:t>代表香港怡和集团下属的香港置地</w:t>
      </w:r>
      <w:r w:rsidRPr="000D399A">
        <w:rPr>
          <w:rFonts w:ascii="宋体" w:eastAsia="宋体" w:hAnsi="Times New Roman"/>
          <w:color w:val="000000"/>
        </w:rPr>
        <w:t xml:space="preserve"> (HK Land)出售其在高速公路等基建项目中的权益</w:t>
      </w:r>
    </w:p>
    <w:p w14:paraId="054E26CF" w14:textId="77777777" w:rsidR="000D399A" w:rsidRDefault="000D399A" w:rsidP="000D399A">
      <w:pPr>
        <w:pStyle w:val="af5"/>
        <w:numPr>
          <w:ilvl w:val="0"/>
          <w:numId w:val="34"/>
        </w:numPr>
        <w:spacing w:before="120"/>
        <w:ind w:left="690" w:hanging="240"/>
        <w:rPr>
          <w:rFonts w:ascii="宋体" w:eastAsia="宋体" w:hAnsi="Times New Roman"/>
          <w:color w:val="000000"/>
        </w:rPr>
      </w:pPr>
      <w:r w:rsidRPr="000D399A">
        <w:rPr>
          <w:rFonts w:ascii="宋体" w:eastAsia="宋体" w:hAnsi="Times New Roman" w:hint="eastAsia"/>
          <w:color w:val="000000"/>
        </w:rPr>
        <w:t>代表普洛斯</w:t>
      </w:r>
      <w:r w:rsidRPr="000D399A">
        <w:rPr>
          <w:rFonts w:ascii="宋体" w:eastAsia="宋体" w:hAnsi="Times New Roman"/>
          <w:color w:val="000000"/>
        </w:rPr>
        <w:t xml:space="preserve"> (ProLogis)为其一系列的工业和商业地产投资项目提供法律服务</w:t>
      </w:r>
    </w:p>
    <w:p w14:paraId="2F21FB48" w14:textId="77777777" w:rsidR="000D399A" w:rsidRDefault="000D399A" w:rsidP="000D399A">
      <w:pPr>
        <w:pStyle w:val="af5"/>
        <w:numPr>
          <w:ilvl w:val="0"/>
          <w:numId w:val="35"/>
        </w:numPr>
        <w:spacing w:before="120"/>
        <w:ind w:left="690" w:hanging="240"/>
        <w:rPr>
          <w:rFonts w:ascii="宋体" w:eastAsia="宋体" w:hAnsi="Times New Roman"/>
          <w:color w:val="000000"/>
        </w:rPr>
      </w:pPr>
      <w:r w:rsidRPr="000D399A">
        <w:rPr>
          <w:rFonts w:ascii="宋体" w:eastAsia="宋体" w:hAnsi="Times New Roman" w:hint="eastAsia"/>
          <w:color w:val="000000"/>
        </w:rPr>
        <w:t>代表摩根大通所管理的私募基金就其拟议的位于西南地区的水泥投资项目的合并提供法律服务</w:t>
      </w:r>
    </w:p>
    <w:p w14:paraId="48F5D743" w14:textId="77777777" w:rsidR="000D399A" w:rsidRDefault="000D399A" w:rsidP="000D399A">
      <w:pPr>
        <w:pStyle w:val="af5"/>
        <w:spacing w:before="120"/>
        <w:rPr>
          <w:rFonts w:ascii="宋体" w:eastAsia="宋体" w:hAnsi="Times New Roman"/>
          <w:color w:val="000000"/>
        </w:rPr>
      </w:pPr>
      <w:r w:rsidRPr="000D399A">
        <w:rPr>
          <w:rFonts w:ascii="宋体" w:eastAsia="宋体" w:hAnsi="Times New Roman" w:hint="eastAsia"/>
          <w:color w:val="000000"/>
        </w:rPr>
        <w:t>合资项目</w:t>
      </w:r>
    </w:p>
    <w:p w14:paraId="7A70B2E3" w14:textId="77777777" w:rsidR="000D399A" w:rsidRDefault="000D399A" w:rsidP="000D399A">
      <w:pPr>
        <w:pStyle w:val="af5"/>
        <w:spacing w:before="120"/>
        <w:rPr>
          <w:rFonts w:ascii="宋体" w:eastAsia="宋体" w:hAnsi="Times New Roman"/>
          <w:color w:val="000000"/>
        </w:rPr>
      </w:pPr>
      <w:r>
        <w:rPr>
          <w:rFonts w:ascii="宋体" w:eastAsia="宋体" w:hAnsi="Times New Roman" w:hint="eastAsia"/>
          <w:color w:val="000000"/>
        </w:rPr>
        <w:t>张律师在代表国内外企业处理各类合资项目和公司治理问题上有丰富的经验，包括新设、重组及清算等各个方面，其近年的代表性案例如下：</w:t>
      </w:r>
    </w:p>
    <w:p w14:paraId="04C6790C" w14:textId="77777777" w:rsidR="000D399A" w:rsidRDefault="000D399A" w:rsidP="000D399A">
      <w:pPr>
        <w:pStyle w:val="af5"/>
        <w:numPr>
          <w:ilvl w:val="0"/>
          <w:numId w:val="36"/>
        </w:numPr>
        <w:spacing w:before="120"/>
        <w:ind w:left="690" w:hanging="240"/>
        <w:rPr>
          <w:rFonts w:ascii="宋体" w:eastAsia="宋体" w:hAnsi="Times New Roman"/>
          <w:color w:val="000000"/>
        </w:rPr>
      </w:pPr>
      <w:r w:rsidRPr="000D399A">
        <w:rPr>
          <w:rFonts w:ascii="宋体" w:eastAsia="宋体" w:hAnsi="Times New Roman" w:hint="eastAsia"/>
          <w:color w:val="000000"/>
        </w:rPr>
        <w:t>代表美国汽车零部件公司安道拓</w:t>
      </w:r>
      <w:r w:rsidRPr="000D399A">
        <w:rPr>
          <w:rFonts w:ascii="宋体" w:eastAsia="宋体" w:hAnsi="Times New Roman"/>
          <w:color w:val="000000"/>
        </w:rPr>
        <w:t>(ADIENT)设计并执行其与上汽旗下延锋的一系列合资公司的收购和重组安排，涉及交易金额80亿元以上</w:t>
      </w:r>
    </w:p>
    <w:p w14:paraId="60E66F6C" w14:textId="77777777" w:rsidR="000D399A" w:rsidRDefault="000D399A" w:rsidP="000D399A">
      <w:pPr>
        <w:pStyle w:val="af5"/>
        <w:numPr>
          <w:ilvl w:val="0"/>
          <w:numId w:val="37"/>
        </w:numPr>
        <w:spacing w:before="120"/>
        <w:ind w:left="690" w:hanging="240"/>
        <w:rPr>
          <w:rFonts w:ascii="宋体" w:eastAsia="宋体" w:hAnsi="Times New Roman"/>
          <w:color w:val="000000"/>
        </w:rPr>
      </w:pPr>
      <w:r w:rsidRPr="000D399A">
        <w:rPr>
          <w:rFonts w:ascii="宋体" w:eastAsia="宋体" w:hAnsi="Times New Roman" w:hint="eastAsia"/>
          <w:color w:val="000000"/>
        </w:rPr>
        <w:t>代表博世</w:t>
      </w:r>
      <w:r w:rsidRPr="000D399A">
        <w:rPr>
          <w:rFonts w:ascii="宋体" w:eastAsia="宋体" w:hAnsi="Times New Roman"/>
          <w:color w:val="000000"/>
        </w:rPr>
        <w:t>(Bosch)与庆铃集团于重庆设立一家合资企业以开发和应用氢燃料动力电池；代表博世参与其与潍柴拟设立一家固态电池合资项目的谈判</w:t>
      </w:r>
    </w:p>
    <w:p w14:paraId="46BC9955" w14:textId="77777777" w:rsidR="000D399A" w:rsidRDefault="000D399A" w:rsidP="000D399A">
      <w:pPr>
        <w:pStyle w:val="af5"/>
        <w:numPr>
          <w:ilvl w:val="0"/>
          <w:numId w:val="38"/>
        </w:numPr>
        <w:spacing w:before="120"/>
        <w:ind w:left="690" w:hanging="240"/>
        <w:rPr>
          <w:rFonts w:ascii="宋体" w:eastAsia="宋体" w:hAnsi="Times New Roman"/>
          <w:color w:val="000000"/>
        </w:rPr>
      </w:pPr>
      <w:r w:rsidRPr="000D399A">
        <w:rPr>
          <w:rFonts w:ascii="宋体" w:eastAsia="宋体" w:hAnsi="Times New Roman" w:hint="eastAsia"/>
          <w:color w:val="000000"/>
        </w:rPr>
        <w:t>代表</w:t>
      </w:r>
      <w:r w:rsidRPr="000D399A">
        <w:rPr>
          <w:rFonts w:ascii="宋体" w:eastAsia="宋体" w:hAnsi="Times New Roman"/>
          <w:color w:val="000000"/>
        </w:rPr>
        <w:t xml:space="preserve"> Sony 与商汤科技在新加坡设立合资企业，并通过该合资企业在大陆和香港开发人像识别技术的应用</w:t>
      </w:r>
    </w:p>
    <w:p w14:paraId="717EC107" w14:textId="77777777" w:rsidR="000D399A" w:rsidRDefault="000D399A" w:rsidP="000D399A">
      <w:pPr>
        <w:pStyle w:val="af5"/>
        <w:numPr>
          <w:ilvl w:val="0"/>
          <w:numId w:val="39"/>
        </w:numPr>
        <w:spacing w:before="120"/>
        <w:ind w:left="690" w:hanging="240"/>
        <w:rPr>
          <w:rFonts w:ascii="宋体" w:eastAsia="宋体" w:hAnsi="Times New Roman"/>
          <w:color w:val="000000"/>
        </w:rPr>
      </w:pPr>
      <w:r w:rsidRPr="000D399A">
        <w:rPr>
          <w:rFonts w:ascii="宋体" w:eastAsia="宋体" w:hAnsi="Times New Roman" w:hint="eastAsia"/>
          <w:color w:val="000000"/>
        </w:rPr>
        <w:t>代表依视路</w:t>
      </w:r>
      <w:r w:rsidRPr="000D399A">
        <w:rPr>
          <w:rFonts w:ascii="宋体" w:eastAsia="宋体" w:hAnsi="Times New Roman"/>
          <w:color w:val="000000"/>
        </w:rPr>
        <w:t>(Essilor)退出一家在江苏省的合资企业</w:t>
      </w:r>
    </w:p>
    <w:p w14:paraId="619D3227" w14:textId="77777777" w:rsidR="000D399A" w:rsidRDefault="000D399A" w:rsidP="000D399A">
      <w:pPr>
        <w:pStyle w:val="af5"/>
        <w:numPr>
          <w:ilvl w:val="0"/>
          <w:numId w:val="40"/>
        </w:numPr>
        <w:spacing w:before="120"/>
        <w:ind w:left="690" w:hanging="240"/>
        <w:rPr>
          <w:rFonts w:ascii="宋体" w:eastAsia="宋体" w:hAnsi="Times New Roman"/>
          <w:color w:val="000000"/>
        </w:rPr>
      </w:pPr>
      <w:r w:rsidRPr="000D399A">
        <w:rPr>
          <w:rFonts w:ascii="宋体" w:eastAsia="宋体" w:hAnsi="Times New Roman" w:hint="eastAsia"/>
          <w:color w:val="000000"/>
        </w:rPr>
        <w:t>代表苏伊士水务</w:t>
      </w:r>
      <w:r w:rsidRPr="000D399A">
        <w:rPr>
          <w:rFonts w:ascii="宋体" w:eastAsia="宋体" w:hAnsi="Times New Roman"/>
          <w:color w:val="000000"/>
        </w:rPr>
        <w:t>(SUEZ) 处理其在重庆的战略性合资企业的股权结构调整</w:t>
      </w:r>
    </w:p>
    <w:p w14:paraId="71D4B9C1" w14:textId="77777777" w:rsidR="000D399A" w:rsidRDefault="000D399A" w:rsidP="000D399A">
      <w:pPr>
        <w:pStyle w:val="af5"/>
        <w:numPr>
          <w:ilvl w:val="0"/>
          <w:numId w:val="41"/>
        </w:numPr>
        <w:spacing w:before="120"/>
        <w:ind w:left="690" w:hanging="240"/>
        <w:rPr>
          <w:rFonts w:ascii="宋体" w:eastAsia="宋体" w:hAnsi="Times New Roman"/>
          <w:color w:val="000000"/>
        </w:rPr>
      </w:pPr>
      <w:r w:rsidRPr="000D399A">
        <w:rPr>
          <w:rFonts w:ascii="宋体" w:eastAsia="宋体" w:hAnsi="Times New Roman" w:hint="eastAsia"/>
          <w:color w:val="000000"/>
        </w:rPr>
        <w:t>代表飞利浦和小米在香港设立一家合资公司以开发智能家居产品</w:t>
      </w:r>
    </w:p>
    <w:p w14:paraId="29D9CA12" w14:textId="77777777" w:rsidR="000D399A" w:rsidRDefault="000D399A" w:rsidP="000D399A">
      <w:pPr>
        <w:pStyle w:val="af5"/>
        <w:numPr>
          <w:ilvl w:val="0"/>
          <w:numId w:val="42"/>
        </w:numPr>
        <w:spacing w:before="120"/>
        <w:ind w:left="690" w:hanging="240"/>
        <w:rPr>
          <w:rFonts w:ascii="宋体" w:eastAsia="宋体" w:hAnsi="Times New Roman"/>
          <w:color w:val="000000"/>
        </w:rPr>
      </w:pPr>
      <w:r w:rsidRPr="000D399A">
        <w:rPr>
          <w:rFonts w:ascii="宋体" w:eastAsia="宋体" w:hAnsi="Times New Roman" w:hint="eastAsia"/>
          <w:color w:val="000000"/>
        </w:rPr>
        <w:t>为力拓</w:t>
      </w:r>
      <w:r w:rsidRPr="000D399A">
        <w:rPr>
          <w:rFonts w:ascii="宋体" w:eastAsia="宋体" w:hAnsi="Times New Roman"/>
          <w:color w:val="000000"/>
        </w:rPr>
        <w:t>(Rio Tinto)投资设立一家铁矿石交易平台的合资股份公司提供法律服务</w:t>
      </w:r>
    </w:p>
    <w:p w14:paraId="01DD1222" w14:textId="77777777" w:rsidR="000D399A" w:rsidRDefault="000D399A" w:rsidP="000D399A">
      <w:pPr>
        <w:pStyle w:val="af5"/>
        <w:numPr>
          <w:ilvl w:val="0"/>
          <w:numId w:val="43"/>
        </w:numPr>
        <w:spacing w:before="120"/>
        <w:ind w:left="690" w:hanging="240"/>
        <w:rPr>
          <w:rFonts w:ascii="宋体" w:eastAsia="宋体" w:hAnsi="Times New Roman"/>
          <w:color w:val="000000"/>
        </w:rPr>
      </w:pPr>
      <w:r w:rsidRPr="000D399A">
        <w:rPr>
          <w:rFonts w:ascii="宋体" w:eastAsia="宋体" w:hAnsi="Times New Roman" w:hint="eastAsia"/>
          <w:color w:val="000000"/>
        </w:rPr>
        <w:t>代表玉柴动力和一家世界领先的工程机械公司的拟议中的合资谈判</w:t>
      </w:r>
    </w:p>
    <w:p w14:paraId="49EF1BA4" w14:textId="77777777" w:rsidR="000D399A" w:rsidRDefault="000D399A" w:rsidP="000D399A">
      <w:pPr>
        <w:pStyle w:val="af5"/>
        <w:spacing w:after="0" w:line="480" w:lineRule="auto"/>
        <w:rPr>
          <w:rFonts w:ascii="宋体" w:eastAsia="宋体" w:hAnsi="宋体"/>
          <w:b/>
          <w:sz w:val="24"/>
        </w:rPr>
      </w:pPr>
      <w:r w:rsidRPr="000D399A">
        <w:rPr>
          <w:rFonts w:ascii="宋体" w:eastAsia="宋体" w:hAnsi="宋体" w:hint="eastAsia"/>
          <w:b/>
          <w:sz w:val="24"/>
        </w:rPr>
        <w:t>教育背景</w:t>
      </w:r>
    </w:p>
    <w:p w14:paraId="79020879" w14:textId="77777777" w:rsidR="000D399A" w:rsidRDefault="000D399A" w:rsidP="000D399A">
      <w:pPr>
        <w:pStyle w:val="af5"/>
        <w:numPr>
          <w:ilvl w:val="0"/>
          <w:numId w:val="44"/>
        </w:numPr>
        <w:spacing w:before="120"/>
        <w:ind w:left="690" w:hanging="240"/>
        <w:rPr>
          <w:rFonts w:ascii="宋体" w:eastAsia="宋体" w:hAnsi="Times New Roman"/>
          <w:color w:val="000000"/>
        </w:rPr>
      </w:pPr>
      <w:r w:rsidRPr="000D399A">
        <w:rPr>
          <w:rFonts w:ascii="宋体" w:eastAsia="宋体" w:hAnsi="Times New Roman" w:hint="eastAsia"/>
          <w:color w:val="000000"/>
        </w:rPr>
        <w:t>复旦大学，法理学硕士，</w:t>
      </w:r>
      <w:r w:rsidRPr="000D399A">
        <w:rPr>
          <w:rFonts w:ascii="宋体" w:eastAsia="宋体" w:hAnsi="Times New Roman"/>
          <w:color w:val="000000"/>
        </w:rPr>
        <w:t>2005</w:t>
      </w:r>
    </w:p>
    <w:p w14:paraId="5DB398AF" w14:textId="77777777" w:rsidR="000D399A" w:rsidRDefault="000D399A" w:rsidP="000D399A">
      <w:pPr>
        <w:pStyle w:val="af5"/>
        <w:numPr>
          <w:ilvl w:val="0"/>
          <w:numId w:val="45"/>
        </w:numPr>
        <w:spacing w:before="120"/>
        <w:ind w:left="690" w:hanging="240"/>
        <w:rPr>
          <w:rFonts w:ascii="宋体" w:eastAsia="宋体" w:hAnsi="Times New Roman"/>
          <w:color w:val="000000"/>
        </w:rPr>
      </w:pPr>
      <w:r w:rsidRPr="000D399A">
        <w:rPr>
          <w:rFonts w:ascii="宋体" w:eastAsia="宋体" w:hAnsi="Times New Roman" w:hint="eastAsia"/>
          <w:color w:val="000000"/>
        </w:rPr>
        <w:t>复旦大学，法学学士，</w:t>
      </w:r>
      <w:r w:rsidRPr="000D399A">
        <w:rPr>
          <w:rFonts w:ascii="宋体" w:eastAsia="宋体" w:hAnsi="Times New Roman"/>
          <w:color w:val="000000"/>
        </w:rPr>
        <w:t>1997</w:t>
      </w:r>
    </w:p>
    <w:p w14:paraId="7B7B57A0" w14:textId="77777777" w:rsidR="000D399A" w:rsidRDefault="000D399A" w:rsidP="000D399A">
      <w:pPr>
        <w:pStyle w:val="af5"/>
        <w:spacing w:after="0" w:line="480" w:lineRule="auto"/>
        <w:rPr>
          <w:rFonts w:ascii="宋体" w:eastAsia="宋体" w:hAnsi="宋体"/>
          <w:b/>
          <w:sz w:val="24"/>
        </w:rPr>
      </w:pPr>
      <w:r w:rsidRPr="000D399A">
        <w:rPr>
          <w:rFonts w:ascii="宋体" w:eastAsia="宋体" w:hAnsi="宋体" w:hint="eastAsia"/>
          <w:b/>
          <w:sz w:val="24"/>
        </w:rPr>
        <w:t>执业资格</w:t>
      </w:r>
    </w:p>
    <w:p w14:paraId="12591C02" w14:textId="77777777" w:rsidR="000D399A" w:rsidRDefault="000D399A" w:rsidP="000D399A">
      <w:pPr>
        <w:pStyle w:val="af5"/>
        <w:numPr>
          <w:ilvl w:val="0"/>
          <w:numId w:val="46"/>
        </w:numPr>
        <w:spacing w:before="120"/>
        <w:ind w:left="690" w:hanging="240"/>
        <w:rPr>
          <w:rFonts w:ascii="宋体" w:eastAsia="宋体" w:hAnsi="Times New Roman"/>
          <w:color w:val="000000"/>
        </w:rPr>
      </w:pPr>
      <w:r w:rsidRPr="000D399A">
        <w:rPr>
          <w:rFonts w:ascii="宋体" w:eastAsia="宋体" w:hAnsi="Times New Roman" w:hint="eastAsia"/>
          <w:color w:val="000000"/>
        </w:rPr>
        <w:t>中华人民共和国执业律师</w:t>
      </w:r>
    </w:p>
    <w:p w14:paraId="58D2F612" w14:textId="77777777" w:rsidR="000D399A" w:rsidRDefault="000D399A" w:rsidP="000D399A">
      <w:pPr>
        <w:pStyle w:val="af5"/>
        <w:spacing w:after="0" w:line="480" w:lineRule="auto"/>
        <w:rPr>
          <w:rFonts w:ascii="宋体" w:eastAsia="宋体" w:hAnsi="宋体"/>
          <w:b/>
          <w:sz w:val="24"/>
        </w:rPr>
      </w:pPr>
      <w:r w:rsidRPr="000D399A">
        <w:rPr>
          <w:rFonts w:ascii="宋体" w:eastAsia="宋体" w:hAnsi="宋体" w:hint="eastAsia"/>
          <w:b/>
          <w:sz w:val="24"/>
        </w:rPr>
        <w:t>职业背景</w:t>
      </w:r>
    </w:p>
    <w:p w14:paraId="6D750DC1" w14:textId="77777777" w:rsidR="000D399A" w:rsidRDefault="000D399A" w:rsidP="000D399A">
      <w:pPr>
        <w:pStyle w:val="af5"/>
        <w:numPr>
          <w:ilvl w:val="0"/>
          <w:numId w:val="47"/>
        </w:numPr>
        <w:spacing w:before="120"/>
        <w:ind w:left="690" w:hanging="240"/>
        <w:rPr>
          <w:rFonts w:ascii="宋体" w:eastAsia="宋体" w:hAnsi="Times New Roman"/>
          <w:color w:val="000000"/>
        </w:rPr>
      </w:pPr>
      <w:r w:rsidRPr="000D399A">
        <w:rPr>
          <w:rFonts w:ascii="宋体" w:eastAsia="宋体" w:hAnsi="Times New Roman" w:hint="eastAsia"/>
          <w:color w:val="000000"/>
        </w:rPr>
        <w:t>张律师于</w:t>
      </w:r>
      <w:r w:rsidRPr="000D399A">
        <w:rPr>
          <w:rFonts w:ascii="宋体" w:eastAsia="宋体" w:hAnsi="Times New Roman"/>
          <w:color w:val="000000"/>
        </w:rPr>
        <w:t>2009年重新加入方达律师事务所，并于2011年成为合伙人。</w:t>
      </w:r>
    </w:p>
    <w:p w14:paraId="2036A7AA" w14:textId="77777777" w:rsidR="000D399A" w:rsidRDefault="000D399A" w:rsidP="000D399A">
      <w:pPr>
        <w:pStyle w:val="af5"/>
        <w:numPr>
          <w:ilvl w:val="0"/>
          <w:numId w:val="48"/>
        </w:numPr>
        <w:spacing w:before="120"/>
        <w:ind w:left="690" w:hanging="240"/>
        <w:rPr>
          <w:rFonts w:ascii="宋体" w:eastAsia="宋体" w:hAnsi="Times New Roman"/>
          <w:color w:val="000000"/>
        </w:rPr>
      </w:pPr>
      <w:r w:rsidRPr="000D399A">
        <w:rPr>
          <w:rFonts w:ascii="宋体" w:eastAsia="宋体" w:hAnsi="Times New Roman"/>
          <w:color w:val="000000"/>
        </w:rPr>
        <w:t>2005年至2009年，张律师于一家领先的英国</w:t>
      </w:r>
      <w:r w:rsidRPr="000D399A">
        <w:rPr>
          <w:rFonts w:ascii="宋体" w:eastAsia="宋体" w:hAnsi="Times New Roman"/>
          <w:color w:val="000000"/>
        </w:rPr>
        <w:t>“</w:t>
      </w:r>
      <w:r w:rsidRPr="000D399A">
        <w:rPr>
          <w:rFonts w:ascii="宋体" w:eastAsia="宋体" w:hAnsi="Times New Roman"/>
          <w:color w:val="000000"/>
        </w:rPr>
        <w:t>魔圈</w:t>
      </w:r>
      <w:r w:rsidRPr="000D399A">
        <w:rPr>
          <w:rFonts w:ascii="宋体" w:eastAsia="宋体" w:hAnsi="Times New Roman"/>
          <w:color w:val="000000"/>
        </w:rPr>
        <w:t>”</w:t>
      </w:r>
      <w:r w:rsidRPr="000D399A">
        <w:rPr>
          <w:rFonts w:ascii="宋体" w:eastAsia="宋体" w:hAnsi="Times New Roman"/>
          <w:color w:val="000000"/>
        </w:rPr>
        <w:t>律师事务所就职。</w:t>
      </w:r>
    </w:p>
    <w:p w14:paraId="4F0A196B" w14:textId="6BCAD95B" w:rsidR="00A46A04" w:rsidRPr="000D399A" w:rsidRDefault="000D399A" w:rsidP="000D399A">
      <w:pPr>
        <w:pStyle w:val="af5"/>
        <w:numPr>
          <w:ilvl w:val="0"/>
          <w:numId w:val="49"/>
        </w:numPr>
        <w:spacing w:before="120"/>
        <w:ind w:left="690" w:hanging="240"/>
        <w:rPr>
          <w:rFonts w:ascii="宋体" w:eastAsia="宋体" w:hAnsi="Times New Roman"/>
          <w:color w:val="000000"/>
        </w:rPr>
      </w:pPr>
      <w:r w:rsidRPr="000D399A">
        <w:rPr>
          <w:rFonts w:ascii="宋体" w:eastAsia="宋体" w:hAnsi="Times New Roman"/>
          <w:color w:val="000000"/>
        </w:rPr>
        <w:t>1998年至2002年，张律师分别在一家国内律师事务所和方达律师事务所执业。</w:t>
      </w:r>
    </w:p>
    <w:sectPr w:rsidR="00A46A04" w:rsidRPr="000D39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5E5"/>
    <w:multiLevelType w:val="singleLevel"/>
    <w:tmpl w:val="221A85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F3341"/>
    <w:multiLevelType w:val="singleLevel"/>
    <w:tmpl w:val="102CAF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955F6"/>
    <w:multiLevelType w:val="singleLevel"/>
    <w:tmpl w:val="724C3B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1E2A3E"/>
    <w:multiLevelType w:val="singleLevel"/>
    <w:tmpl w:val="25F6B8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43111A"/>
    <w:multiLevelType w:val="singleLevel"/>
    <w:tmpl w:val="5AF4A3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337580"/>
    <w:multiLevelType w:val="singleLevel"/>
    <w:tmpl w:val="5B345F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3F3CC3"/>
    <w:multiLevelType w:val="singleLevel"/>
    <w:tmpl w:val="7F149A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A80EE6"/>
    <w:multiLevelType w:val="singleLevel"/>
    <w:tmpl w:val="9CB2FE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8905FF"/>
    <w:multiLevelType w:val="singleLevel"/>
    <w:tmpl w:val="5A5E61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CC4226"/>
    <w:multiLevelType w:val="singleLevel"/>
    <w:tmpl w:val="9D58DF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731B30"/>
    <w:multiLevelType w:val="singleLevel"/>
    <w:tmpl w:val="F52AEB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222A58"/>
    <w:multiLevelType w:val="singleLevel"/>
    <w:tmpl w:val="E048D7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E925F7"/>
    <w:multiLevelType w:val="singleLevel"/>
    <w:tmpl w:val="DA9C14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791D76"/>
    <w:multiLevelType w:val="singleLevel"/>
    <w:tmpl w:val="7E2A7F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904471"/>
    <w:multiLevelType w:val="singleLevel"/>
    <w:tmpl w:val="C506F0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DD1BFE"/>
    <w:multiLevelType w:val="singleLevel"/>
    <w:tmpl w:val="C3FAE2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15521"/>
    <w:multiLevelType w:val="singleLevel"/>
    <w:tmpl w:val="C00061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580333"/>
    <w:multiLevelType w:val="singleLevel"/>
    <w:tmpl w:val="C00061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F101CE"/>
    <w:multiLevelType w:val="singleLevel"/>
    <w:tmpl w:val="F3F6C7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C6539C"/>
    <w:multiLevelType w:val="singleLevel"/>
    <w:tmpl w:val="884C34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4865CA"/>
    <w:multiLevelType w:val="singleLevel"/>
    <w:tmpl w:val="3EF485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B11CB9"/>
    <w:multiLevelType w:val="singleLevel"/>
    <w:tmpl w:val="A9D496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262ED4"/>
    <w:multiLevelType w:val="singleLevel"/>
    <w:tmpl w:val="B5947C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48353A"/>
    <w:multiLevelType w:val="singleLevel"/>
    <w:tmpl w:val="95D8E2D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F63E87"/>
    <w:multiLevelType w:val="singleLevel"/>
    <w:tmpl w:val="DDBAC0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30777F"/>
    <w:multiLevelType w:val="singleLevel"/>
    <w:tmpl w:val="42E47E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A87CBB"/>
    <w:multiLevelType w:val="singleLevel"/>
    <w:tmpl w:val="150CBA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3C0679E7"/>
    <w:multiLevelType w:val="singleLevel"/>
    <w:tmpl w:val="D32835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666140"/>
    <w:multiLevelType w:val="singleLevel"/>
    <w:tmpl w:val="665C4D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952D2F"/>
    <w:multiLevelType w:val="singleLevel"/>
    <w:tmpl w:val="C0FAA9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D80F69"/>
    <w:multiLevelType w:val="singleLevel"/>
    <w:tmpl w:val="BBEE15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15C2750"/>
    <w:multiLevelType w:val="singleLevel"/>
    <w:tmpl w:val="78EEC9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0223FE"/>
    <w:multiLevelType w:val="singleLevel"/>
    <w:tmpl w:val="C0D8D7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0B5778"/>
    <w:multiLevelType w:val="singleLevel"/>
    <w:tmpl w:val="AE8A53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2F3C91"/>
    <w:multiLevelType w:val="singleLevel"/>
    <w:tmpl w:val="8D103E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5367B8"/>
    <w:multiLevelType w:val="singleLevel"/>
    <w:tmpl w:val="5E624F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EA23C3"/>
    <w:multiLevelType w:val="singleLevel"/>
    <w:tmpl w:val="BE5EA2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4BE4E99"/>
    <w:multiLevelType w:val="singleLevel"/>
    <w:tmpl w:val="20CCB78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FD287A"/>
    <w:multiLevelType w:val="singleLevel"/>
    <w:tmpl w:val="D1C4D71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921F58"/>
    <w:multiLevelType w:val="singleLevel"/>
    <w:tmpl w:val="23BE75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0E2A5D"/>
    <w:multiLevelType w:val="singleLevel"/>
    <w:tmpl w:val="737E1E9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A36BDD"/>
    <w:multiLevelType w:val="singleLevel"/>
    <w:tmpl w:val="0EB215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AC356B"/>
    <w:multiLevelType w:val="singleLevel"/>
    <w:tmpl w:val="847E45B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844FD0"/>
    <w:multiLevelType w:val="singleLevel"/>
    <w:tmpl w:val="8AE8540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C115B4"/>
    <w:multiLevelType w:val="singleLevel"/>
    <w:tmpl w:val="18CCBBB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A406B6"/>
    <w:multiLevelType w:val="singleLevel"/>
    <w:tmpl w:val="FEB06C7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B7513E"/>
    <w:multiLevelType w:val="singleLevel"/>
    <w:tmpl w:val="335A7BD0"/>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8"/>
  </w:num>
  <w:num w:numId="3">
    <w:abstractNumId w:val="6"/>
  </w:num>
  <w:num w:numId="4">
    <w:abstractNumId w:val="43"/>
  </w:num>
  <w:num w:numId="5">
    <w:abstractNumId w:val="11"/>
  </w:num>
  <w:num w:numId="6">
    <w:abstractNumId w:val="26"/>
  </w:num>
  <w:num w:numId="7">
    <w:abstractNumId w:val="9"/>
  </w:num>
  <w:num w:numId="8">
    <w:abstractNumId w:val="34"/>
  </w:num>
  <w:num w:numId="9">
    <w:abstractNumId w:val="38"/>
  </w:num>
  <w:num w:numId="10">
    <w:abstractNumId w:val="21"/>
  </w:num>
  <w:num w:numId="11">
    <w:abstractNumId w:val="46"/>
  </w:num>
  <w:num w:numId="12">
    <w:abstractNumId w:val="44"/>
  </w:num>
  <w:num w:numId="13">
    <w:abstractNumId w:val="24"/>
  </w:num>
  <w:num w:numId="14">
    <w:abstractNumId w:val="40"/>
  </w:num>
  <w:num w:numId="15">
    <w:abstractNumId w:val="42"/>
  </w:num>
  <w:num w:numId="16">
    <w:abstractNumId w:val="47"/>
  </w:num>
  <w:num w:numId="17">
    <w:abstractNumId w:val="41"/>
  </w:num>
  <w:num w:numId="18">
    <w:abstractNumId w:val="10"/>
  </w:num>
  <w:num w:numId="19">
    <w:abstractNumId w:val="5"/>
  </w:num>
  <w:num w:numId="20">
    <w:abstractNumId w:val="3"/>
  </w:num>
  <w:num w:numId="21">
    <w:abstractNumId w:val="0"/>
  </w:num>
  <w:num w:numId="22">
    <w:abstractNumId w:val="23"/>
  </w:num>
  <w:num w:numId="23">
    <w:abstractNumId w:val="45"/>
  </w:num>
  <w:num w:numId="24">
    <w:abstractNumId w:val="1"/>
  </w:num>
  <w:num w:numId="25">
    <w:abstractNumId w:val="7"/>
  </w:num>
  <w:num w:numId="26">
    <w:abstractNumId w:val="12"/>
  </w:num>
  <w:num w:numId="27">
    <w:abstractNumId w:val="19"/>
  </w:num>
  <w:num w:numId="28">
    <w:abstractNumId w:val="22"/>
  </w:num>
  <w:num w:numId="29">
    <w:abstractNumId w:val="14"/>
  </w:num>
  <w:num w:numId="30">
    <w:abstractNumId w:val="25"/>
  </w:num>
  <w:num w:numId="31">
    <w:abstractNumId w:val="37"/>
  </w:num>
  <w:num w:numId="32">
    <w:abstractNumId w:val="29"/>
  </w:num>
  <w:num w:numId="33">
    <w:abstractNumId w:val="31"/>
  </w:num>
  <w:num w:numId="34">
    <w:abstractNumId w:val="4"/>
  </w:num>
  <w:num w:numId="35">
    <w:abstractNumId w:val="8"/>
  </w:num>
  <w:num w:numId="36">
    <w:abstractNumId w:val="33"/>
  </w:num>
  <w:num w:numId="37">
    <w:abstractNumId w:val="36"/>
  </w:num>
  <w:num w:numId="38">
    <w:abstractNumId w:val="39"/>
  </w:num>
  <w:num w:numId="39">
    <w:abstractNumId w:val="30"/>
  </w:num>
  <w:num w:numId="40">
    <w:abstractNumId w:val="2"/>
  </w:num>
  <w:num w:numId="41">
    <w:abstractNumId w:val="32"/>
  </w:num>
  <w:num w:numId="42">
    <w:abstractNumId w:val="48"/>
  </w:num>
  <w:num w:numId="43">
    <w:abstractNumId w:val="18"/>
  </w:num>
  <w:num w:numId="44">
    <w:abstractNumId w:val="35"/>
  </w:num>
  <w:num w:numId="45">
    <w:abstractNumId w:val="15"/>
  </w:num>
  <w:num w:numId="46">
    <w:abstractNumId w:val="27"/>
  </w:num>
  <w:num w:numId="47">
    <w:abstractNumId w:val="13"/>
  </w:num>
  <w:num w:numId="48">
    <w:abstractNumId w:val="17"/>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399A"/>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399A"/>
    <w:pPr>
      <w:spacing w:after="120"/>
    </w:pPr>
  </w:style>
  <w:style w:type="character" w:customStyle="1" w:styleId="af6">
    <w:name w:val="正文文本 字符"/>
    <w:basedOn w:val="a0"/>
    <w:link w:val="af5"/>
    <w:uiPriority w:val="99"/>
    <w:rsid w:val="000D39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59D3A-D5E8-497E-9327-3EB95AEE6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2028</Characters>
  <Application>Microsoft Office Word</Application>
  <DocSecurity>0</DocSecurity>
  <Lines>16</Lines>
  <Paragraphs>4</Paragraphs>
  <ScaleCrop>false</ScaleCrop>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2026-05-02T01:16:00Z</dcterms:created>
  <dcterms:modified xsi:type="dcterms:W3CDTF">2026-05-02T01:16:00Z</dcterms:modified>
</cp:coreProperties>
</file>