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8B4713" w:rsidR="0049405C" w:rsidRPr="00187BAA" w:rsidRDefault="00BB0B89" w:rsidP="00BB0B89">
            <w:pPr>
              <w:spacing w:line="720" w:lineRule="auto"/>
              <w:rPr>
                <w:rFonts w:ascii="宋体" w:eastAsia="宋体" w:hAnsi="宋体"/>
                <w:color w:val="545551"/>
              </w:rPr>
            </w:pPr>
            <w:bookmarkStart w:id="0" w:name="xingming"/>
            <w:bookmarkStart w:id="1" w:name="_GoBack"/>
            <w:bookmarkEnd w:id="1"/>
            <w:r w:rsidRPr="00BB0B89">
              <w:rPr>
                <w:rFonts w:ascii="宋体" w:eastAsia="宋体" w:hAnsi="Times New Roman" w:hint="eastAsia"/>
                <w:b/>
                <w:color w:val="000000"/>
                <w:sz w:val="48"/>
              </w:rPr>
              <w:t>刘秀生</w:t>
            </w:r>
            <w:bookmarkEnd w:id="0"/>
          </w:p>
          <w:p w14:paraId="1274712D" w14:textId="77777777" w:rsidR="00BB0B89" w:rsidRPr="00BB0B89" w:rsidRDefault="00BB0B89" w:rsidP="00BB0B89">
            <w:pPr>
              <w:spacing w:line="360" w:lineRule="auto"/>
              <w:rPr>
                <w:rFonts w:ascii="宋体" w:eastAsia="宋体" w:hAnsi="Times New Roman"/>
                <w:b/>
                <w:bCs/>
                <w:color w:val="000000"/>
              </w:rPr>
            </w:pPr>
            <w:bookmarkStart w:id="2" w:name="didian"/>
            <w:r w:rsidRPr="00BB0B89">
              <w:rPr>
                <w:rFonts w:ascii="宋体" w:eastAsia="宋体" w:hAnsi="Times New Roman" w:hint="eastAsia"/>
                <w:b/>
                <w:bCs/>
                <w:color w:val="000000"/>
              </w:rPr>
              <w:t>北京</w:t>
            </w:r>
            <w:r w:rsidRPr="00BB0B89">
              <w:rPr>
                <w:rFonts w:ascii="宋体" w:eastAsia="宋体" w:hAnsi="Times New Roman"/>
                <w:b/>
                <w:bCs/>
                <w:color w:val="000000"/>
              </w:rPr>
              <w:t>,上海</w:t>
            </w:r>
          </w:p>
          <w:p w14:paraId="706EB16B" w14:textId="18267B01" w:rsidR="0049405C" w:rsidRPr="00187BAA" w:rsidRDefault="00BB0B89" w:rsidP="00BB0B89">
            <w:pPr>
              <w:spacing w:line="360" w:lineRule="auto"/>
              <w:rPr>
                <w:rFonts w:ascii="宋体" w:eastAsia="宋体" w:hAnsi="宋体"/>
                <w:b/>
                <w:bCs/>
                <w:color w:val="545551"/>
              </w:rPr>
            </w:pPr>
            <w:r w:rsidRPr="00BB0B89">
              <w:rPr>
                <w:rFonts w:ascii="宋体" w:eastAsia="宋体" w:hAnsi="Times New Roman" w:hint="eastAsia"/>
                <w:b/>
                <w:bCs/>
                <w:color w:val="000000"/>
              </w:rPr>
              <w:t>合伙人·新加坡</w:t>
            </w:r>
            <w:bookmarkEnd w:id="2"/>
          </w:p>
          <w:p w14:paraId="6199424A" w14:textId="17499CEC" w:rsidR="0049405C" w:rsidRPr="00187BAA" w:rsidRDefault="00BB0B89" w:rsidP="00BB0B89">
            <w:pPr>
              <w:spacing w:line="360" w:lineRule="auto"/>
              <w:rPr>
                <w:rFonts w:ascii="宋体" w:eastAsia="宋体" w:hAnsi="宋体"/>
                <w:color w:val="545551"/>
              </w:rPr>
            </w:pPr>
            <w:bookmarkStart w:id="3" w:name="dianhua"/>
            <w:r w:rsidRPr="00BB0B89">
              <w:rPr>
                <w:rFonts w:ascii="宋体" w:eastAsia="宋体" w:hAnsi="Times New Roman"/>
                <w:color w:val="000000"/>
              </w:rPr>
              <w:t>+86 10 5769 5733</w:t>
            </w:r>
            <w:bookmarkEnd w:id="3"/>
          </w:p>
          <w:p w14:paraId="4F910ACA" w14:textId="7E15CF1D" w:rsidR="0049405C" w:rsidRPr="00187BAA" w:rsidRDefault="00BB0B89" w:rsidP="00BB0B89">
            <w:pPr>
              <w:spacing w:line="360" w:lineRule="auto"/>
              <w:rPr>
                <w:rFonts w:ascii="宋体" w:eastAsia="宋体" w:hAnsi="宋体"/>
                <w:color w:val="000000"/>
              </w:rPr>
            </w:pPr>
            <w:bookmarkStart w:id="4" w:name="youxiang"/>
            <w:r w:rsidRPr="00BB0B89">
              <w:rPr>
                <w:rFonts w:ascii="宋体" w:eastAsia="宋体" w:hAnsi="Times New Roman"/>
                <w:color w:val="000000"/>
              </w:rPr>
              <w:t>shepard.liu@fangdalaw.com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82FDDFC" w:rsidR="0049405C" w:rsidRPr="00187BAA" w:rsidRDefault="00BB0B8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63FCDD" wp14:editId="6A6FC47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B79362" w:rsidR="009465FB" w:rsidRPr="00187BAA" w:rsidRDefault="00BB0B89" w:rsidP="007177F3">
            <w:pPr>
              <w:rPr>
                <w:rFonts w:ascii="宋体" w:eastAsia="宋体" w:hAnsi="宋体"/>
                <w:color w:val="000000"/>
                <w:szCs w:val="21"/>
              </w:rPr>
            </w:pPr>
            <w:bookmarkStart w:id="6" w:name="zhiyelingyu"/>
            <w:r w:rsidRPr="00BB0B89">
              <w:rPr>
                <w:rFonts w:ascii="宋体" w:eastAsia="宋体" w:hAnsi="Times New Roman" w:hint="eastAsia"/>
                <w:color w:val="000000"/>
                <w:szCs w:val="21"/>
              </w:rPr>
              <w:t>刘律师的业务主要集中在可再生能源（包括太阳能、风能、水电以及储能等）、传统能源、矿产、石油和天然气、通信和运输等基础设施领域的项目开发和融资。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ABA1CD3" w14:textId="77777777" w:rsidR="00BB0B8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778523" w14:textId="77777777" w:rsidR="00BB0B89" w:rsidRDefault="00BB0B89" w:rsidP="00BB0B89">
      <w:pPr>
        <w:pStyle w:val="af5"/>
        <w:spacing w:before="120"/>
        <w:rPr>
          <w:rFonts w:ascii="宋体" w:eastAsia="宋体" w:hAnsi="Times New Roman"/>
          <w:color w:val="000000"/>
        </w:rPr>
      </w:pPr>
      <w:r w:rsidRPr="00BB0B89">
        <w:rPr>
          <w:rFonts w:ascii="宋体" w:eastAsia="宋体" w:hAnsi="Times New Roman" w:hint="eastAsia"/>
          <w:color w:val="000000"/>
        </w:rPr>
        <w:t>加入方达前，刘律师担任一家顶级华尔街律师事务所全球能源和基础设施融资合伙人及中国业务负责人超过</w:t>
      </w:r>
      <w:r w:rsidRPr="00BB0B89">
        <w:rPr>
          <w:rFonts w:ascii="宋体" w:eastAsia="宋体" w:hAnsi="Times New Roman"/>
          <w:color w:val="000000"/>
        </w:rPr>
        <w:t>10年。他在为中国金融机构、国际融资机构以及中外借款人/发起人提供咨询方面拥有丰富的经验，曾为中国工商银行、中国进出口银行、中国银行、民生银行、中国建设银行、国家开发银行、中信保、汇丰银行（HSBC）、花旗银行（Citibank）、摩根大通（JP Morgan）、三井住友银行（SMBC）、葛洲坝国际、中海油、中国能建、中国电建、中信建设以及其他中国和全球主要银行和借款人/发起人提供咨询。</w:t>
      </w:r>
    </w:p>
    <w:p w14:paraId="3DB82509" w14:textId="77777777" w:rsidR="00BB0B89" w:rsidRDefault="00BB0B89" w:rsidP="00BB0B89">
      <w:pPr>
        <w:pStyle w:val="af5"/>
        <w:spacing w:after="0" w:line="480" w:lineRule="auto"/>
        <w:rPr>
          <w:rFonts w:ascii="宋体" w:eastAsia="宋体" w:hAnsi="宋体"/>
          <w:b/>
          <w:sz w:val="24"/>
        </w:rPr>
      </w:pPr>
      <w:r w:rsidRPr="00BB0B89">
        <w:rPr>
          <w:rFonts w:ascii="宋体" w:eastAsia="宋体" w:hAnsi="宋体" w:hint="eastAsia"/>
          <w:b/>
          <w:sz w:val="24"/>
        </w:rPr>
        <w:t>近期代理的主要案件</w:t>
      </w:r>
    </w:p>
    <w:p w14:paraId="0D55C77F" w14:textId="77777777" w:rsidR="00BB0B89" w:rsidRDefault="00BB0B89" w:rsidP="00BB0B89">
      <w:pPr>
        <w:pStyle w:val="af5"/>
        <w:spacing w:before="120"/>
        <w:rPr>
          <w:rFonts w:ascii="宋体" w:eastAsia="宋体" w:hAnsi="Times New Roman"/>
          <w:color w:val="000000"/>
        </w:rPr>
      </w:pPr>
    </w:p>
    <w:p w14:paraId="25435E67" w14:textId="77777777" w:rsidR="00BB0B89" w:rsidRDefault="00BB0B89" w:rsidP="00BB0B89">
      <w:pPr>
        <w:pStyle w:val="af5"/>
        <w:numPr>
          <w:ilvl w:val="0"/>
          <w:numId w:val="4"/>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代表中国工商银行领导的银团就乌兹别克斯坦某</w:t>
      </w:r>
      <w:r w:rsidRPr="00BB0B89">
        <w:rPr>
          <w:rFonts w:ascii="宋体" w:eastAsia="宋体" w:hAnsi="Times New Roman"/>
          <w:color w:val="000000"/>
        </w:rPr>
        <w:t>2x250 MW 风能项目的项目融资提供法律建议（进行中）。</w:t>
      </w:r>
    </w:p>
    <w:p w14:paraId="50AB195C" w14:textId="77777777" w:rsidR="00BB0B89" w:rsidRDefault="00BB0B89" w:rsidP="00BB0B89">
      <w:pPr>
        <w:pStyle w:val="af5"/>
        <w:numPr>
          <w:ilvl w:val="0"/>
          <w:numId w:val="5"/>
        </w:numPr>
        <w:spacing w:before="120"/>
        <w:ind w:left="690" w:hanging="240"/>
        <w:rPr>
          <w:rFonts w:ascii="宋体" w:eastAsia="宋体" w:hAnsi="Times New Roman"/>
          <w:color w:val="000000"/>
        </w:rPr>
      </w:pPr>
      <w:r w:rsidRPr="00BB0B89">
        <w:rPr>
          <w:rFonts w:ascii="宋体" w:eastAsia="宋体" w:hAnsi="Times New Roman" w:hint="eastAsia"/>
          <w:color w:val="000000"/>
        </w:rPr>
        <w:t>代表葛洲坝集团就位于波黑的特雷比涅二期光伏和储能项目的开发和融资提供法律建议。</w:t>
      </w:r>
    </w:p>
    <w:p w14:paraId="7E31F6AD" w14:textId="77777777" w:rsidR="00BB0B89" w:rsidRDefault="00BB0B89" w:rsidP="00BB0B89">
      <w:pPr>
        <w:pStyle w:val="af5"/>
        <w:numPr>
          <w:ilvl w:val="0"/>
          <w:numId w:val="6"/>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代表中国工商银行、中国进出口银行、中国建设银行以及十几家国际银行就位于马来西亚佛柔州的</w:t>
      </w:r>
      <w:r w:rsidRPr="00BB0B89">
        <w:rPr>
          <w:rFonts w:ascii="宋体" w:eastAsia="宋体" w:hAnsi="Times New Roman"/>
          <w:color w:val="000000"/>
        </w:rPr>
        <w:t>RAPID综合炼油和石化项目的100亿美元项目融资提供法律建议。</w:t>
      </w:r>
    </w:p>
    <w:p w14:paraId="06511C52" w14:textId="77777777" w:rsidR="00BB0B89" w:rsidRDefault="00BB0B89" w:rsidP="00BB0B89">
      <w:pPr>
        <w:pStyle w:val="af5"/>
        <w:numPr>
          <w:ilvl w:val="0"/>
          <w:numId w:val="7"/>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代表中国工商银行、汇丰银行（</w:t>
      </w:r>
      <w:r w:rsidRPr="00BB0B89">
        <w:rPr>
          <w:rFonts w:ascii="宋体" w:eastAsia="宋体" w:hAnsi="Times New Roman"/>
          <w:color w:val="000000"/>
        </w:rPr>
        <w:t>HSBC）、花旗银行（Citibank）、摩根大通（JP Morgan）以及其他十几家国际银行为沙特阿拉伯的基础建设项目提供110亿美元融资。</w:t>
      </w:r>
    </w:p>
    <w:p w14:paraId="25B8CF57" w14:textId="77777777" w:rsidR="00BB0B89" w:rsidRDefault="00BB0B89" w:rsidP="00BB0B89">
      <w:pPr>
        <w:pStyle w:val="af5"/>
        <w:numPr>
          <w:ilvl w:val="0"/>
          <w:numId w:val="8"/>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代表中国进出口银行和中国工商银行就位于越南的沿海</w:t>
      </w:r>
      <w:r w:rsidRPr="00BB0B89">
        <w:rPr>
          <w:rFonts w:ascii="宋体" w:eastAsia="宋体" w:hAnsi="Times New Roman"/>
          <w:color w:val="000000"/>
        </w:rPr>
        <w:t>2期2x600 MW的煤电厂项目融资提供法律建议。</w:t>
      </w:r>
    </w:p>
    <w:p w14:paraId="5FAECA0C" w14:textId="77777777" w:rsidR="00BB0B89" w:rsidRDefault="00BB0B89" w:rsidP="00BB0B89">
      <w:pPr>
        <w:pStyle w:val="af5"/>
        <w:numPr>
          <w:ilvl w:val="0"/>
          <w:numId w:val="9"/>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代表中国工商银行就位于印度尼西亚雅加达的</w:t>
      </w:r>
      <w:r w:rsidRPr="00BB0B89">
        <w:rPr>
          <w:rFonts w:ascii="宋体" w:eastAsia="宋体" w:hAnsi="Times New Roman"/>
          <w:color w:val="000000"/>
        </w:rPr>
        <w:t>Signature Tower 项目建设的融资提供法律建议。</w:t>
      </w:r>
    </w:p>
    <w:p w14:paraId="156DEB60" w14:textId="77777777" w:rsidR="00BB0B89" w:rsidRDefault="00BB0B89" w:rsidP="00BB0B89">
      <w:pPr>
        <w:pStyle w:val="af5"/>
        <w:numPr>
          <w:ilvl w:val="0"/>
          <w:numId w:val="10"/>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代表中国建设银行就马来西亚某炼钢厂</w:t>
      </w:r>
      <w:r w:rsidRPr="00BB0B89">
        <w:rPr>
          <w:rFonts w:ascii="宋体" w:eastAsia="宋体" w:hAnsi="Times New Roman"/>
          <w:color w:val="000000"/>
        </w:rPr>
        <w:t>7.4亿美元的项目融资提供法律建议。该项目由中信保提供商业和政治风险保险。</w:t>
      </w:r>
    </w:p>
    <w:p w14:paraId="357B301B" w14:textId="77777777" w:rsidR="00BB0B89" w:rsidRDefault="00BB0B89" w:rsidP="00BB0B89">
      <w:pPr>
        <w:pStyle w:val="af5"/>
        <w:numPr>
          <w:ilvl w:val="0"/>
          <w:numId w:val="11"/>
        </w:numPr>
        <w:spacing w:before="120"/>
        <w:ind w:left="690" w:hanging="240"/>
        <w:rPr>
          <w:rFonts w:ascii="宋体" w:eastAsia="宋体" w:hAnsi="Times New Roman"/>
          <w:color w:val="000000"/>
        </w:rPr>
      </w:pPr>
      <w:r w:rsidRPr="00BB0B89">
        <w:rPr>
          <w:rFonts w:ascii="宋体" w:eastAsia="宋体" w:hAnsi="Times New Roman" w:hint="eastAsia"/>
          <w:color w:val="000000"/>
        </w:rPr>
        <w:t>代表天合光能股份有限公司就位于柬埔寨的某太阳能项目的开发和融资提供法律建议。</w:t>
      </w:r>
    </w:p>
    <w:p w14:paraId="60320D68" w14:textId="77777777" w:rsidR="00BB0B89" w:rsidRDefault="00BB0B89" w:rsidP="00BB0B89">
      <w:pPr>
        <w:pStyle w:val="af5"/>
        <w:numPr>
          <w:ilvl w:val="0"/>
          <w:numId w:val="12"/>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代表中国银行、中国民生银行、中国工商银行等中资银行就瑞士某机场管理公司的并购提供</w:t>
      </w:r>
      <w:r w:rsidRPr="00BB0B89">
        <w:rPr>
          <w:rFonts w:ascii="宋体" w:eastAsia="宋体" w:hAnsi="Times New Roman"/>
          <w:color w:val="000000"/>
        </w:rPr>
        <w:t>9.6亿美元贷款的项目提供法律建议。</w:t>
      </w:r>
    </w:p>
    <w:p w14:paraId="323A10D3" w14:textId="77777777" w:rsidR="00BB0B89" w:rsidRDefault="00BB0B89" w:rsidP="00BB0B89">
      <w:pPr>
        <w:pStyle w:val="af5"/>
        <w:numPr>
          <w:ilvl w:val="0"/>
          <w:numId w:val="13"/>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代表中国工商银行、中国进出口银行、和中国民生银行就厄瓜多尔</w:t>
      </w:r>
      <w:r w:rsidRPr="00BB0B89">
        <w:rPr>
          <w:rFonts w:ascii="宋体" w:eastAsia="宋体" w:hAnsi="Times New Roman"/>
          <w:color w:val="000000"/>
        </w:rPr>
        <w:t>9.7亿美元的石油项目融资提供法律建议。</w:t>
      </w:r>
    </w:p>
    <w:p w14:paraId="6FF971CC" w14:textId="77777777" w:rsidR="00BB0B89" w:rsidRDefault="00BB0B89" w:rsidP="00BB0B89">
      <w:pPr>
        <w:pStyle w:val="af5"/>
        <w:numPr>
          <w:ilvl w:val="0"/>
          <w:numId w:val="14"/>
        </w:numPr>
        <w:spacing w:before="120"/>
        <w:ind w:left="690" w:hanging="240"/>
        <w:rPr>
          <w:rFonts w:ascii="宋体" w:eastAsia="宋体" w:hAnsi="Times New Roman"/>
          <w:color w:val="000000"/>
        </w:rPr>
      </w:pPr>
      <w:r w:rsidRPr="00BB0B89">
        <w:rPr>
          <w:rFonts w:ascii="宋体" w:eastAsia="宋体" w:hAnsi="Times New Roman" w:hint="eastAsia"/>
          <w:color w:val="000000"/>
        </w:rPr>
        <w:t>代表国家开发银行就厄瓜多尔</w:t>
      </w:r>
      <w:r w:rsidRPr="00BB0B89">
        <w:rPr>
          <w:rFonts w:ascii="宋体" w:eastAsia="宋体" w:hAnsi="Times New Roman"/>
          <w:color w:val="000000"/>
        </w:rPr>
        <w:t>10亿美元的石油项目融资提供法律建议。</w:t>
      </w:r>
    </w:p>
    <w:p w14:paraId="5D5238D6" w14:textId="77777777" w:rsidR="00BB0B89" w:rsidRDefault="00BB0B89" w:rsidP="00BB0B89">
      <w:pPr>
        <w:pStyle w:val="af5"/>
        <w:numPr>
          <w:ilvl w:val="0"/>
          <w:numId w:val="15"/>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代表中国工商银行为位于塞拉利昂的伊丽莎白港口的新港口建设和旧港口扩建以及设施修建提供</w:t>
      </w:r>
      <w:r w:rsidRPr="00BB0B89">
        <w:rPr>
          <w:rFonts w:ascii="宋体" w:eastAsia="宋体" w:hAnsi="Times New Roman"/>
          <w:color w:val="000000"/>
        </w:rPr>
        <w:t>5亿美元的项目融资。</w:t>
      </w:r>
    </w:p>
    <w:p w14:paraId="49BA5378" w14:textId="77777777" w:rsidR="00BB0B89" w:rsidRDefault="00BB0B89" w:rsidP="00BB0B89">
      <w:pPr>
        <w:pStyle w:val="af5"/>
        <w:numPr>
          <w:ilvl w:val="0"/>
          <w:numId w:val="16"/>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代表中国工商银行和中国进出口银行为位于几内亚的一号国道项目与市政路项目的提供融资。该项目由中信保提供商业和政治风险保险。</w:t>
      </w:r>
    </w:p>
    <w:p w14:paraId="67DBEA47" w14:textId="77777777" w:rsidR="00BB0B89" w:rsidRDefault="00BB0B89" w:rsidP="00BB0B89">
      <w:pPr>
        <w:pStyle w:val="af5"/>
        <w:numPr>
          <w:ilvl w:val="0"/>
          <w:numId w:val="17"/>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代表中国工商银行及由多家国际金融机构组成的国际银团为位于蒙古的</w:t>
      </w:r>
      <w:r w:rsidRPr="00BB0B89">
        <w:rPr>
          <w:rFonts w:ascii="宋体" w:eastAsia="宋体" w:hAnsi="Times New Roman"/>
          <w:color w:val="000000"/>
        </w:rPr>
        <w:t>Oyu Tolgoi铜矿和金矿提供项目融资。</w:t>
      </w:r>
    </w:p>
    <w:p w14:paraId="66F790FC" w14:textId="77777777" w:rsidR="00BB0B89" w:rsidRDefault="00BB0B89" w:rsidP="00BB0B89">
      <w:pPr>
        <w:pStyle w:val="af5"/>
        <w:numPr>
          <w:ilvl w:val="0"/>
          <w:numId w:val="18"/>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代表中国工商银行就首钢秘鲁铁矿股份有限公司为现有债务再融资以及位于秘鲁的铁矿石工厂的扩建提供融资。</w:t>
      </w:r>
    </w:p>
    <w:p w14:paraId="271D8672" w14:textId="77777777" w:rsidR="00BB0B89" w:rsidRDefault="00BB0B89" w:rsidP="00BB0B89">
      <w:pPr>
        <w:pStyle w:val="af5"/>
        <w:numPr>
          <w:ilvl w:val="0"/>
          <w:numId w:val="19"/>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代表中国工商银行为</w:t>
      </w:r>
      <w:r w:rsidRPr="00BB0B89">
        <w:rPr>
          <w:rFonts w:ascii="宋体" w:eastAsia="宋体" w:hAnsi="Times New Roman"/>
          <w:color w:val="000000"/>
        </w:rPr>
        <w:t>PetroRio石油天然气开采与生产提供6000万美元的项目融资。</w:t>
      </w:r>
    </w:p>
    <w:p w14:paraId="642C913F" w14:textId="77777777" w:rsidR="00BB0B89" w:rsidRDefault="00BB0B89" w:rsidP="00BB0B89">
      <w:pPr>
        <w:pStyle w:val="af5"/>
        <w:numPr>
          <w:ilvl w:val="0"/>
          <w:numId w:val="20"/>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代表中国银行、中国工商银行、三井住友银行就阿根廷某公路项目</w:t>
      </w:r>
      <w:r w:rsidRPr="00BB0B89">
        <w:rPr>
          <w:rFonts w:ascii="宋体" w:eastAsia="宋体" w:hAnsi="Times New Roman"/>
          <w:color w:val="000000"/>
        </w:rPr>
        <w:t>20亿美元的项目融资提供法律建议。</w:t>
      </w:r>
    </w:p>
    <w:p w14:paraId="7493FC99" w14:textId="77777777" w:rsidR="00BB0B89" w:rsidRDefault="00BB0B89" w:rsidP="00BB0B89">
      <w:pPr>
        <w:pStyle w:val="af5"/>
        <w:numPr>
          <w:ilvl w:val="0"/>
          <w:numId w:val="21"/>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代表中国建设银行就出售重大战略股权给美国银行（</w:t>
      </w:r>
      <w:r w:rsidRPr="00BB0B89">
        <w:rPr>
          <w:rFonts w:ascii="宋体" w:eastAsia="宋体" w:hAnsi="Times New Roman"/>
          <w:color w:val="000000"/>
        </w:rPr>
        <w:t>Bank of America,100亿美元）和淡马锡控股（Temasek Holdings, 24亿美元）提供法律建议。</w:t>
      </w:r>
    </w:p>
    <w:p w14:paraId="37FAAF4D" w14:textId="77777777" w:rsidR="00BB0B89" w:rsidRDefault="00BB0B89" w:rsidP="00BB0B89">
      <w:pPr>
        <w:pStyle w:val="af5"/>
        <w:numPr>
          <w:ilvl w:val="0"/>
          <w:numId w:val="22"/>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代表中国进出口银行就非洲进出口银行的贷款项目提供法律建议。</w:t>
      </w:r>
    </w:p>
    <w:p w14:paraId="018055B3" w14:textId="77777777" w:rsidR="00BB0B89" w:rsidRDefault="00BB0B89" w:rsidP="00BB0B89">
      <w:pPr>
        <w:pStyle w:val="af5"/>
        <w:numPr>
          <w:ilvl w:val="0"/>
          <w:numId w:val="23"/>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代表中国进出口银行就与位于瑞士的</w:t>
      </w:r>
      <w:r w:rsidRPr="00BB0B89">
        <w:rPr>
          <w:rFonts w:ascii="宋体" w:eastAsia="宋体" w:hAnsi="Times New Roman"/>
          <w:color w:val="000000"/>
        </w:rPr>
        <w:t>Vale International SA的融资提供法律建议。</w:t>
      </w:r>
    </w:p>
    <w:p w14:paraId="20751F3D" w14:textId="77777777" w:rsidR="00BB0B89" w:rsidRDefault="00BB0B89" w:rsidP="00BB0B89">
      <w:pPr>
        <w:pStyle w:val="af5"/>
        <w:numPr>
          <w:ilvl w:val="0"/>
          <w:numId w:val="24"/>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代表中国进出口银行就与东非和南部非洲贸易和发展银行的定期贷款融资提供法律建议。</w:t>
      </w:r>
    </w:p>
    <w:p w14:paraId="58C18BFC" w14:textId="77777777" w:rsidR="00BB0B89" w:rsidRDefault="00BB0B89" w:rsidP="00BB0B89">
      <w:pPr>
        <w:pStyle w:val="af5"/>
        <w:numPr>
          <w:ilvl w:val="0"/>
          <w:numId w:val="25"/>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代表中国进出口银行就位于波黑塞族共和国的</w:t>
      </w:r>
      <w:r w:rsidRPr="00BB0B89">
        <w:rPr>
          <w:rFonts w:ascii="宋体" w:eastAsia="宋体" w:hAnsi="Times New Roman"/>
          <w:color w:val="000000"/>
        </w:rPr>
        <w:t>Dabar水电站项目的融资提供法律建议。</w:t>
      </w:r>
    </w:p>
    <w:p w14:paraId="2ED0FC14" w14:textId="77777777" w:rsidR="00BB0B89" w:rsidRDefault="00BB0B89" w:rsidP="00BB0B89">
      <w:pPr>
        <w:pStyle w:val="af5"/>
        <w:numPr>
          <w:ilvl w:val="0"/>
          <w:numId w:val="26"/>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代表中国进出口银行就位于波黑塞族共和国的</w:t>
      </w:r>
      <w:r w:rsidRPr="00BB0B89">
        <w:rPr>
          <w:rFonts w:ascii="宋体" w:eastAsia="宋体" w:hAnsi="Times New Roman"/>
          <w:color w:val="000000"/>
        </w:rPr>
        <w:t>Bistrica水电站项目的融资提供法律建议。</w:t>
      </w:r>
    </w:p>
    <w:p w14:paraId="78CBCD2D" w14:textId="77777777" w:rsidR="00BB0B89" w:rsidRDefault="00BB0B89" w:rsidP="00BB0B89">
      <w:pPr>
        <w:pStyle w:val="af5"/>
        <w:numPr>
          <w:ilvl w:val="0"/>
          <w:numId w:val="27"/>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代表中国进出口银行就位于几内亚的凯乐塔（</w:t>
      </w:r>
      <w:r w:rsidRPr="00BB0B89">
        <w:rPr>
          <w:rFonts w:ascii="宋体" w:eastAsia="宋体" w:hAnsi="Times New Roman"/>
          <w:color w:val="000000"/>
        </w:rPr>
        <w:t>Kaleta）水电站和苏阿皮蒂（Souapiti）水电站的项目融资提供法律建议。</w:t>
      </w:r>
    </w:p>
    <w:p w14:paraId="015669F2" w14:textId="77777777" w:rsidR="00BB0B89" w:rsidRDefault="00BB0B89" w:rsidP="00BB0B89">
      <w:pPr>
        <w:pStyle w:val="af5"/>
        <w:numPr>
          <w:ilvl w:val="0"/>
          <w:numId w:val="28"/>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代表中国进出口银行就位于波黑图兹拉的</w:t>
      </w:r>
      <w:r w:rsidRPr="00BB0B89">
        <w:rPr>
          <w:rFonts w:ascii="宋体" w:eastAsia="宋体" w:hAnsi="Times New Roman"/>
          <w:color w:val="000000"/>
        </w:rPr>
        <w:t>450 MW热电站6.1亿欧元的融资提供法律建议。</w:t>
      </w:r>
    </w:p>
    <w:p w14:paraId="5A8939B2" w14:textId="77777777" w:rsidR="00BB0B89" w:rsidRDefault="00BB0B89" w:rsidP="00BB0B89">
      <w:pPr>
        <w:pStyle w:val="af5"/>
        <w:numPr>
          <w:ilvl w:val="0"/>
          <w:numId w:val="29"/>
        </w:numPr>
        <w:spacing w:before="120"/>
        <w:ind w:left="690" w:hanging="240"/>
        <w:rPr>
          <w:rFonts w:ascii="宋体" w:eastAsia="宋体" w:hAnsi="Times New Roman"/>
          <w:color w:val="000000"/>
        </w:rPr>
      </w:pPr>
      <w:r w:rsidRPr="00BB0B89">
        <w:rPr>
          <w:rFonts w:ascii="宋体" w:eastAsia="宋体" w:hAnsi="Times New Roman" w:hint="eastAsia"/>
          <w:color w:val="000000"/>
        </w:rPr>
        <w:t>代表中信建设就位于伊拉克的重油发电项目约</w:t>
      </w:r>
      <w:r w:rsidRPr="00BB0B89">
        <w:rPr>
          <w:rFonts w:ascii="宋体" w:eastAsia="宋体" w:hAnsi="Times New Roman"/>
          <w:color w:val="000000"/>
        </w:rPr>
        <w:t>10亿美元的项目融资提供法律建议。</w:t>
      </w:r>
    </w:p>
    <w:p w14:paraId="49565CC2" w14:textId="77777777" w:rsidR="00BB0B89" w:rsidRDefault="00BB0B89" w:rsidP="00BB0B89">
      <w:pPr>
        <w:pStyle w:val="af5"/>
        <w:numPr>
          <w:ilvl w:val="0"/>
          <w:numId w:val="30"/>
        </w:numPr>
        <w:spacing w:before="120"/>
        <w:ind w:left="690" w:hanging="240"/>
        <w:rPr>
          <w:rFonts w:ascii="宋体" w:eastAsia="宋体" w:hAnsi="Times New Roman"/>
          <w:color w:val="000000"/>
        </w:rPr>
      </w:pPr>
      <w:r w:rsidRPr="00BB0B89">
        <w:rPr>
          <w:rFonts w:ascii="宋体" w:eastAsia="宋体" w:hAnsi="Times New Roman" w:hint="eastAsia"/>
          <w:color w:val="000000"/>
        </w:rPr>
        <w:t>代表中国进出口银行和国家开发银行就哥伦比亚</w:t>
      </w:r>
      <w:r w:rsidRPr="00BB0B89">
        <w:rPr>
          <w:rFonts w:ascii="宋体" w:eastAsia="宋体" w:hAnsi="Times New Roman"/>
          <w:color w:val="000000"/>
        </w:rPr>
        <w:t>El Dorado国际机场重建项目的融资提供法律建议。该项目当年被Project Finance评为</w:t>
      </w:r>
      <w:r w:rsidRPr="00BB0B89">
        <w:rPr>
          <w:rFonts w:ascii="宋体" w:eastAsia="宋体" w:hAnsi="Times New Roman"/>
          <w:color w:val="000000"/>
        </w:rPr>
        <w:t>“</w:t>
      </w:r>
      <w:r w:rsidRPr="00BB0B89">
        <w:rPr>
          <w:rFonts w:ascii="宋体" w:eastAsia="宋体" w:hAnsi="Times New Roman"/>
          <w:color w:val="000000"/>
        </w:rPr>
        <w:t>年度拉丁美洲年度交通交易</w:t>
      </w:r>
      <w:r w:rsidRPr="00BB0B89">
        <w:rPr>
          <w:rFonts w:ascii="宋体" w:eastAsia="宋体" w:hAnsi="Times New Roman"/>
          <w:color w:val="000000"/>
        </w:rPr>
        <w:t>”</w:t>
      </w:r>
      <w:r w:rsidRPr="00BB0B89">
        <w:rPr>
          <w:rFonts w:ascii="宋体" w:eastAsia="宋体" w:hAnsi="Times New Roman"/>
          <w:color w:val="000000"/>
        </w:rPr>
        <w:t>并在IFLR美洲大奖评选中获得</w:t>
      </w:r>
      <w:r w:rsidRPr="00BB0B89">
        <w:rPr>
          <w:rFonts w:ascii="宋体" w:eastAsia="宋体" w:hAnsi="Times New Roman"/>
          <w:color w:val="000000"/>
        </w:rPr>
        <w:t>“</w:t>
      </w:r>
      <w:r w:rsidRPr="00BB0B89">
        <w:rPr>
          <w:rFonts w:ascii="宋体" w:eastAsia="宋体" w:hAnsi="Times New Roman"/>
          <w:color w:val="000000"/>
        </w:rPr>
        <w:t>年度项目融资交易</w:t>
      </w:r>
      <w:r w:rsidRPr="00BB0B89">
        <w:rPr>
          <w:rFonts w:ascii="宋体" w:eastAsia="宋体" w:hAnsi="Times New Roman"/>
          <w:color w:val="000000"/>
        </w:rPr>
        <w:t>”</w:t>
      </w:r>
      <w:r w:rsidRPr="00BB0B89">
        <w:rPr>
          <w:rFonts w:ascii="宋体" w:eastAsia="宋体" w:hAnsi="Times New Roman"/>
          <w:color w:val="000000"/>
        </w:rPr>
        <w:t>奖。</w:t>
      </w:r>
    </w:p>
    <w:p w14:paraId="0ED2C75E" w14:textId="77777777" w:rsidR="00BB0B89" w:rsidRDefault="00BB0B89" w:rsidP="00BB0B89">
      <w:pPr>
        <w:pStyle w:val="af5"/>
        <w:numPr>
          <w:ilvl w:val="0"/>
          <w:numId w:val="31"/>
        </w:numPr>
        <w:spacing w:before="120"/>
        <w:ind w:left="690" w:hanging="240"/>
        <w:rPr>
          <w:rFonts w:ascii="宋体" w:eastAsia="宋体" w:hAnsi="Times New Roman"/>
          <w:color w:val="000000"/>
        </w:rPr>
      </w:pPr>
      <w:r w:rsidRPr="00BB0B89">
        <w:rPr>
          <w:rFonts w:ascii="宋体" w:eastAsia="宋体" w:hAnsi="Times New Roman" w:hint="eastAsia"/>
          <w:color w:val="000000"/>
        </w:rPr>
        <w:t>代表发起人</w:t>
      </w:r>
      <w:r w:rsidRPr="00BB0B89">
        <w:rPr>
          <w:rFonts w:ascii="宋体" w:eastAsia="宋体" w:hAnsi="Times New Roman"/>
          <w:color w:val="000000"/>
        </w:rPr>
        <w:t>/借款人就位于中国无锡的Hynix-ST第三阶段半导体项目向银团进行5亿美元的项目贷款提供法律建议。该银团由国家开发银行、中国农业银行、中国银行、韩国开发银行和其他中资银行及国际银行组成。</w:t>
      </w:r>
    </w:p>
    <w:p w14:paraId="2C7C3241" w14:textId="77777777" w:rsidR="00BB0B89" w:rsidRDefault="00BB0B89" w:rsidP="00BB0B89">
      <w:pPr>
        <w:pStyle w:val="af5"/>
        <w:spacing w:after="0" w:line="480" w:lineRule="auto"/>
        <w:rPr>
          <w:rFonts w:ascii="宋体" w:eastAsia="宋体" w:hAnsi="宋体"/>
          <w:b/>
          <w:sz w:val="24"/>
        </w:rPr>
      </w:pPr>
      <w:r w:rsidRPr="00BB0B89">
        <w:rPr>
          <w:rFonts w:ascii="宋体" w:eastAsia="宋体" w:hAnsi="宋体" w:hint="eastAsia"/>
          <w:b/>
          <w:sz w:val="24"/>
        </w:rPr>
        <w:t>教育背景</w:t>
      </w:r>
    </w:p>
    <w:p w14:paraId="534BDC1F" w14:textId="77777777" w:rsidR="00BB0B89" w:rsidRDefault="00BB0B89" w:rsidP="00BB0B89">
      <w:pPr>
        <w:pStyle w:val="af5"/>
        <w:numPr>
          <w:ilvl w:val="0"/>
          <w:numId w:val="32"/>
        </w:numPr>
        <w:spacing w:before="120"/>
        <w:ind w:left="690" w:hanging="240"/>
        <w:rPr>
          <w:rFonts w:ascii="宋体" w:eastAsia="宋体" w:hAnsi="Times New Roman"/>
          <w:color w:val="000000"/>
        </w:rPr>
      </w:pPr>
      <w:r w:rsidRPr="00BB0B89">
        <w:rPr>
          <w:rFonts w:ascii="宋体" w:eastAsia="宋体" w:hAnsi="Times New Roman" w:hint="eastAsia"/>
          <w:color w:val="000000"/>
        </w:rPr>
        <w:t>弗吉尼亚大学，法学博士</w:t>
      </w:r>
    </w:p>
    <w:p w14:paraId="01D3E9FE" w14:textId="77777777" w:rsidR="00BB0B89" w:rsidRDefault="00BB0B89" w:rsidP="00BB0B89">
      <w:pPr>
        <w:pStyle w:val="af5"/>
        <w:numPr>
          <w:ilvl w:val="0"/>
          <w:numId w:val="33"/>
        </w:numPr>
        <w:spacing w:before="120"/>
        <w:ind w:left="690" w:hanging="240"/>
        <w:rPr>
          <w:rFonts w:ascii="宋体" w:eastAsia="宋体" w:hAnsi="Times New Roman"/>
          <w:color w:val="000000"/>
        </w:rPr>
      </w:pPr>
      <w:r w:rsidRPr="00BB0B89">
        <w:rPr>
          <w:rFonts w:ascii="宋体" w:eastAsia="宋体" w:hAnsi="Times New Roman" w:hint="eastAsia"/>
          <w:color w:val="000000"/>
        </w:rPr>
        <w:t>德克萨斯大学，哲学博士</w:t>
      </w:r>
    </w:p>
    <w:p w14:paraId="2F3669C5" w14:textId="77777777" w:rsidR="00BB0B89" w:rsidRDefault="00BB0B89" w:rsidP="00BB0B89">
      <w:pPr>
        <w:pStyle w:val="af5"/>
        <w:numPr>
          <w:ilvl w:val="0"/>
          <w:numId w:val="34"/>
        </w:numPr>
        <w:spacing w:before="120"/>
        <w:ind w:left="690" w:hanging="240"/>
        <w:rPr>
          <w:rFonts w:ascii="宋体" w:eastAsia="宋体" w:hAnsi="Times New Roman"/>
          <w:color w:val="000000"/>
        </w:rPr>
      </w:pPr>
      <w:r w:rsidRPr="00BB0B89">
        <w:rPr>
          <w:rFonts w:ascii="宋体" w:eastAsia="宋体" w:hAnsi="Times New Roman" w:hint="eastAsia"/>
          <w:color w:val="000000"/>
        </w:rPr>
        <w:t>复旦大学，数学和哲学学士</w:t>
      </w:r>
    </w:p>
    <w:p w14:paraId="421CE8D6" w14:textId="77777777" w:rsidR="00BB0B89" w:rsidRDefault="00BB0B89" w:rsidP="00BB0B89">
      <w:pPr>
        <w:pStyle w:val="af5"/>
        <w:spacing w:after="0" w:line="480" w:lineRule="auto"/>
        <w:rPr>
          <w:rFonts w:ascii="宋体" w:eastAsia="宋体" w:hAnsi="宋体"/>
          <w:b/>
          <w:sz w:val="24"/>
        </w:rPr>
      </w:pPr>
      <w:r w:rsidRPr="00BB0B89">
        <w:rPr>
          <w:rFonts w:ascii="宋体" w:eastAsia="宋体" w:hAnsi="宋体" w:hint="eastAsia"/>
          <w:b/>
          <w:sz w:val="24"/>
        </w:rPr>
        <w:t>执业资格</w:t>
      </w:r>
    </w:p>
    <w:p w14:paraId="385A6AE1" w14:textId="77777777" w:rsidR="00BB0B89" w:rsidRDefault="00BB0B89" w:rsidP="00BB0B89">
      <w:pPr>
        <w:pStyle w:val="af5"/>
        <w:numPr>
          <w:ilvl w:val="0"/>
          <w:numId w:val="35"/>
        </w:numPr>
        <w:spacing w:before="120"/>
        <w:ind w:left="690" w:hanging="240"/>
        <w:rPr>
          <w:rFonts w:ascii="宋体" w:eastAsia="宋体" w:hAnsi="Times New Roman"/>
          <w:color w:val="000000"/>
        </w:rPr>
      </w:pPr>
      <w:r w:rsidRPr="00BB0B89">
        <w:rPr>
          <w:rFonts w:ascii="宋体" w:eastAsia="宋体" w:hAnsi="Times New Roman" w:hint="eastAsia"/>
          <w:color w:val="000000"/>
        </w:rPr>
        <w:t>美国纽约州律师资格</w:t>
      </w:r>
    </w:p>
    <w:p w14:paraId="79942F67" w14:textId="77777777" w:rsidR="00BB0B89" w:rsidRDefault="00BB0B89" w:rsidP="00BB0B89">
      <w:pPr>
        <w:pStyle w:val="af5"/>
        <w:numPr>
          <w:ilvl w:val="0"/>
          <w:numId w:val="36"/>
        </w:numPr>
        <w:spacing w:before="120"/>
        <w:ind w:left="690" w:hanging="240"/>
        <w:rPr>
          <w:rFonts w:ascii="宋体" w:eastAsia="宋体" w:hAnsi="Times New Roman"/>
          <w:color w:val="000000"/>
        </w:rPr>
      </w:pPr>
      <w:r w:rsidRPr="00BB0B89">
        <w:rPr>
          <w:rFonts w:ascii="宋体" w:eastAsia="宋体" w:hAnsi="Times New Roman" w:hint="eastAsia"/>
          <w:color w:val="000000"/>
        </w:rPr>
        <w:t>美国德克萨斯州律师资格</w:t>
      </w:r>
    </w:p>
    <w:p w14:paraId="50B35A02" w14:textId="77777777" w:rsidR="00BB0B89" w:rsidRDefault="00BB0B89" w:rsidP="00BB0B89">
      <w:pPr>
        <w:pStyle w:val="af5"/>
        <w:spacing w:after="0" w:line="480" w:lineRule="auto"/>
        <w:rPr>
          <w:rFonts w:ascii="宋体" w:eastAsia="宋体" w:hAnsi="宋体"/>
          <w:b/>
          <w:sz w:val="24"/>
        </w:rPr>
      </w:pPr>
      <w:r w:rsidRPr="00BB0B89">
        <w:rPr>
          <w:rFonts w:ascii="宋体" w:eastAsia="宋体" w:hAnsi="宋体" w:hint="eastAsia"/>
          <w:b/>
          <w:sz w:val="24"/>
        </w:rPr>
        <w:t>工作语言</w:t>
      </w:r>
    </w:p>
    <w:p w14:paraId="5BEEA013" w14:textId="77777777" w:rsidR="00BB0B89" w:rsidRDefault="00BB0B89" w:rsidP="00BB0B89">
      <w:pPr>
        <w:pStyle w:val="af5"/>
        <w:numPr>
          <w:ilvl w:val="0"/>
          <w:numId w:val="37"/>
        </w:numPr>
        <w:spacing w:before="120"/>
        <w:ind w:left="690" w:hanging="240"/>
        <w:rPr>
          <w:rFonts w:ascii="宋体" w:eastAsia="宋体" w:hAnsi="Times New Roman"/>
          <w:color w:val="000000"/>
        </w:rPr>
      </w:pPr>
      <w:r w:rsidRPr="00BB0B89">
        <w:rPr>
          <w:rFonts w:ascii="宋体" w:eastAsia="宋体" w:hAnsi="Times New Roman" w:hint="eastAsia"/>
          <w:color w:val="000000"/>
        </w:rPr>
        <w:t>英文</w:t>
      </w:r>
    </w:p>
    <w:p w14:paraId="253053A7" w14:textId="77777777" w:rsidR="00BB0B89" w:rsidRDefault="00BB0B89" w:rsidP="00BB0B89">
      <w:pPr>
        <w:pStyle w:val="af5"/>
        <w:numPr>
          <w:ilvl w:val="0"/>
          <w:numId w:val="38"/>
        </w:numPr>
        <w:spacing w:before="120"/>
        <w:ind w:left="690" w:hanging="240"/>
        <w:rPr>
          <w:rFonts w:ascii="宋体" w:eastAsia="宋体" w:hAnsi="Times New Roman"/>
          <w:color w:val="000000"/>
        </w:rPr>
      </w:pPr>
      <w:r w:rsidRPr="00BB0B89">
        <w:rPr>
          <w:rFonts w:ascii="宋体" w:eastAsia="宋体" w:hAnsi="Times New Roman" w:hint="eastAsia"/>
          <w:color w:val="000000"/>
        </w:rPr>
        <w:t>中文</w:t>
      </w:r>
    </w:p>
    <w:p w14:paraId="5543FFC4" w14:textId="77777777" w:rsidR="00BB0B89" w:rsidRDefault="00BB0B89" w:rsidP="00BB0B89">
      <w:pPr>
        <w:pStyle w:val="af5"/>
        <w:spacing w:after="0" w:line="480" w:lineRule="auto"/>
        <w:rPr>
          <w:rFonts w:ascii="宋体" w:eastAsia="宋体" w:hAnsi="宋体"/>
          <w:b/>
          <w:sz w:val="24"/>
        </w:rPr>
      </w:pPr>
      <w:r w:rsidRPr="00BB0B89">
        <w:rPr>
          <w:rFonts w:ascii="宋体" w:eastAsia="宋体" w:hAnsi="宋体" w:hint="eastAsia"/>
          <w:b/>
          <w:sz w:val="24"/>
        </w:rPr>
        <w:t>职业背景</w:t>
      </w:r>
    </w:p>
    <w:p w14:paraId="4F0A196B" w14:textId="251C9CB0" w:rsidR="00A46A04" w:rsidRPr="00BB0B89" w:rsidRDefault="00BB0B89" w:rsidP="00BB0B89">
      <w:pPr>
        <w:pStyle w:val="af5"/>
        <w:numPr>
          <w:ilvl w:val="0"/>
          <w:numId w:val="39"/>
        </w:numPr>
        <w:spacing w:before="120"/>
        <w:ind w:left="690" w:hanging="240"/>
        <w:rPr>
          <w:rFonts w:ascii="宋体" w:eastAsia="宋体" w:hAnsi="Times New Roman"/>
          <w:color w:val="000000"/>
        </w:rPr>
      </w:pPr>
      <w:r w:rsidRPr="00BB0B89">
        <w:rPr>
          <w:rFonts w:ascii="宋体" w:eastAsia="宋体" w:hAnsi="Times New Roman" w:hint="eastAsia"/>
          <w:color w:val="000000"/>
        </w:rPr>
        <w:t>刘律师在全球项目融资、开发和基础设施方面的工作长期被《钱伯斯全球》、《钱伯斯亚太》、《钱伯斯大中华》以及《法律</w:t>
      </w:r>
      <w:r w:rsidRPr="00BB0B89">
        <w:rPr>
          <w:rFonts w:ascii="宋体" w:eastAsia="宋体" w:hAnsi="Times New Roman"/>
          <w:color w:val="000000"/>
        </w:rPr>
        <w:t xml:space="preserve">500强》认可，并被列为领军专家。在钱伯斯，刘律师被客户描述为 </w:t>
      </w:r>
      <w:r w:rsidRPr="00BB0B89">
        <w:rPr>
          <w:rFonts w:ascii="宋体" w:eastAsia="宋体" w:hAnsi="Times New Roman"/>
          <w:color w:val="000000"/>
        </w:rPr>
        <w:t>“</w:t>
      </w:r>
      <w:r w:rsidRPr="00BB0B89">
        <w:rPr>
          <w:rFonts w:ascii="宋体" w:eastAsia="宋体" w:hAnsi="Times New Roman"/>
          <w:color w:val="000000"/>
        </w:rPr>
        <w:t>全球项目开发和项目融资方面的杰出专家，具有解决困难的商业和法律问题的能力。</w:t>
      </w:r>
      <w:r w:rsidRPr="00BB0B89">
        <w:rPr>
          <w:rFonts w:ascii="宋体" w:eastAsia="宋体" w:hAnsi="Times New Roman"/>
          <w:color w:val="000000"/>
        </w:rPr>
        <w:t>”</w:t>
      </w:r>
      <w:r w:rsidRPr="00BB0B89">
        <w:rPr>
          <w:rFonts w:ascii="宋体" w:eastAsia="宋体" w:hAnsi="Times New Roman"/>
          <w:color w:val="000000"/>
        </w:rPr>
        <w:t>在中国，刘律师连续多年被《最佳律师》评选为项目融资和开发领域的领军律师，并被《商法》评为律界精锐（The A-List Growth drivers）。刘律师入选 2024《世界法律名人录》。</w:t>
      </w:r>
    </w:p>
    <w:sectPr w:rsidR="00A46A04" w:rsidRPr="00BB0B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7314"/>
    <w:multiLevelType w:val="singleLevel"/>
    <w:tmpl w:val="9EEC34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11375B"/>
    <w:multiLevelType w:val="singleLevel"/>
    <w:tmpl w:val="E90E69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00B3A"/>
    <w:multiLevelType w:val="singleLevel"/>
    <w:tmpl w:val="AE6630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C45189"/>
    <w:multiLevelType w:val="singleLevel"/>
    <w:tmpl w:val="5E94CD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3E0A6D"/>
    <w:multiLevelType w:val="singleLevel"/>
    <w:tmpl w:val="795073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A77A31"/>
    <w:multiLevelType w:val="singleLevel"/>
    <w:tmpl w:val="94863F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C46936"/>
    <w:multiLevelType w:val="singleLevel"/>
    <w:tmpl w:val="AB66D9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EF2251"/>
    <w:multiLevelType w:val="singleLevel"/>
    <w:tmpl w:val="2D7AEC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5459E9"/>
    <w:multiLevelType w:val="singleLevel"/>
    <w:tmpl w:val="888850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4B3CAA"/>
    <w:multiLevelType w:val="singleLevel"/>
    <w:tmpl w:val="A0F08C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BB3E17"/>
    <w:multiLevelType w:val="singleLevel"/>
    <w:tmpl w:val="F73A1E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525422"/>
    <w:multiLevelType w:val="singleLevel"/>
    <w:tmpl w:val="337464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E5587E"/>
    <w:multiLevelType w:val="singleLevel"/>
    <w:tmpl w:val="7814FE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F45EAA"/>
    <w:multiLevelType w:val="singleLevel"/>
    <w:tmpl w:val="89A631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276044"/>
    <w:multiLevelType w:val="singleLevel"/>
    <w:tmpl w:val="0C04360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8C131E"/>
    <w:multiLevelType w:val="singleLevel"/>
    <w:tmpl w:val="6C429C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9219B9"/>
    <w:multiLevelType w:val="singleLevel"/>
    <w:tmpl w:val="63AAF5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E72F80"/>
    <w:multiLevelType w:val="singleLevel"/>
    <w:tmpl w:val="A286572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713BB9"/>
    <w:multiLevelType w:val="singleLevel"/>
    <w:tmpl w:val="AB66D9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EFA441E"/>
    <w:multiLevelType w:val="singleLevel"/>
    <w:tmpl w:val="FEAE08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4E1F53"/>
    <w:multiLevelType w:val="singleLevel"/>
    <w:tmpl w:val="30A0CF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4628D3"/>
    <w:multiLevelType w:val="singleLevel"/>
    <w:tmpl w:val="6FEC1F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836C11"/>
    <w:multiLevelType w:val="singleLevel"/>
    <w:tmpl w:val="E8C447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D64E32"/>
    <w:multiLevelType w:val="singleLevel"/>
    <w:tmpl w:val="F37471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9C4CDF"/>
    <w:multiLevelType w:val="singleLevel"/>
    <w:tmpl w:val="4EF43A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B1704D"/>
    <w:multiLevelType w:val="singleLevel"/>
    <w:tmpl w:val="06C2C3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BD0360"/>
    <w:multiLevelType w:val="singleLevel"/>
    <w:tmpl w:val="DACED2D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9B55C7"/>
    <w:multiLevelType w:val="singleLevel"/>
    <w:tmpl w:val="24ECEE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1358D6"/>
    <w:multiLevelType w:val="singleLevel"/>
    <w:tmpl w:val="2D4046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224A1C"/>
    <w:multiLevelType w:val="singleLevel"/>
    <w:tmpl w:val="C5D63F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2977AC"/>
    <w:multiLevelType w:val="singleLevel"/>
    <w:tmpl w:val="2C482F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1A0E86"/>
    <w:multiLevelType w:val="singleLevel"/>
    <w:tmpl w:val="2294F8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CB014A"/>
    <w:multiLevelType w:val="singleLevel"/>
    <w:tmpl w:val="55D2B0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E80E33"/>
    <w:multiLevelType w:val="singleLevel"/>
    <w:tmpl w:val="9B8A7D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C55154"/>
    <w:multiLevelType w:val="singleLevel"/>
    <w:tmpl w:val="42F88C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391EF5"/>
    <w:multiLevelType w:val="singleLevel"/>
    <w:tmpl w:val="D15C430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700C9F"/>
    <w:multiLevelType w:val="singleLevel"/>
    <w:tmpl w:val="F230C50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0"/>
  </w:num>
  <w:num w:numId="3">
    <w:abstractNumId w:val="29"/>
  </w:num>
  <w:num w:numId="4">
    <w:abstractNumId w:val="8"/>
  </w:num>
  <w:num w:numId="5">
    <w:abstractNumId w:val="2"/>
  </w:num>
  <w:num w:numId="6">
    <w:abstractNumId w:val="31"/>
  </w:num>
  <w:num w:numId="7">
    <w:abstractNumId w:val="11"/>
  </w:num>
  <w:num w:numId="8">
    <w:abstractNumId w:val="33"/>
  </w:num>
  <w:num w:numId="9">
    <w:abstractNumId w:val="30"/>
  </w:num>
  <w:num w:numId="10">
    <w:abstractNumId w:val="5"/>
  </w:num>
  <w:num w:numId="11">
    <w:abstractNumId w:val="34"/>
  </w:num>
  <w:num w:numId="12">
    <w:abstractNumId w:val="0"/>
  </w:num>
  <w:num w:numId="13">
    <w:abstractNumId w:val="1"/>
  </w:num>
  <w:num w:numId="14">
    <w:abstractNumId w:val="15"/>
  </w:num>
  <w:num w:numId="15">
    <w:abstractNumId w:val="37"/>
  </w:num>
  <w:num w:numId="16">
    <w:abstractNumId w:val="16"/>
  </w:num>
  <w:num w:numId="17">
    <w:abstractNumId w:val="28"/>
  </w:num>
  <w:num w:numId="18">
    <w:abstractNumId w:val="21"/>
  </w:num>
  <w:num w:numId="19">
    <w:abstractNumId w:val="14"/>
  </w:num>
  <w:num w:numId="20">
    <w:abstractNumId w:val="36"/>
  </w:num>
  <w:num w:numId="21">
    <w:abstractNumId w:val="7"/>
  </w:num>
  <w:num w:numId="22">
    <w:abstractNumId w:val="12"/>
  </w:num>
  <w:num w:numId="23">
    <w:abstractNumId w:val="3"/>
  </w:num>
  <w:num w:numId="24">
    <w:abstractNumId w:val="22"/>
  </w:num>
  <w:num w:numId="25">
    <w:abstractNumId w:val="35"/>
  </w:num>
  <w:num w:numId="26">
    <w:abstractNumId w:val="17"/>
  </w:num>
  <w:num w:numId="27">
    <w:abstractNumId w:val="24"/>
  </w:num>
  <w:num w:numId="28">
    <w:abstractNumId w:val="38"/>
  </w:num>
  <w:num w:numId="29">
    <w:abstractNumId w:val="26"/>
  </w:num>
  <w:num w:numId="30">
    <w:abstractNumId w:val="9"/>
  </w:num>
  <w:num w:numId="31">
    <w:abstractNumId w:val="23"/>
  </w:num>
  <w:num w:numId="32">
    <w:abstractNumId w:val="32"/>
  </w:num>
  <w:num w:numId="33">
    <w:abstractNumId w:val="4"/>
  </w:num>
  <w:num w:numId="34">
    <w:abstractNumId w:val="10"/>
  </w:num>
  <w:num w:numId="35">
    <w:abstractNumId w:val="25"/>
  </w:num>
  <w:num w:numId="36">
    <w:abstractNumId w:val="18"/>
  </w:num>
  <w:num w:numId="37">
    <w:abstractNumId w:val="27"/>
  </w:num>
  <w:num w:numId="38">
    <w:abstractNumId w:val="19"/>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0B89"/>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B0B89"/>
    <w:pPr>
      <w:spacing w:after="120"/>
    </w:pPr>
  </w:style>
  <w:style w:type="character" w:customStyle="1" w:styleId="af6">
    <w:name w:val="正文文本 字符"/>
    <w:basedOn w:val="a0"/>
    <w:link w:val="af5"/>
    <w:uiPriority w:val="99"/>
    <w:rsid w:val="00BB0B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57E57-5F98-4A40-9FA0-D03A27AF6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1918</Characters>
  <Application>Microsoft Office Word</Application>
  <DocSecurity>0</DocSecurity>
  <Lines>15</Lines>
  <Paragraphs>4</Paragraphs>
  <ScaleCrop>false</ScaleCrop>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2026-06-24T02:12:00Z</dcterms:created>
  <dcterms:modified xsi:type="dcterms:W3CDTF">2026-06-24T02:12:00Z</dcterms:modified>
</cp:coreProperties>
</file>