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33D6CFA" w:rsidR="0049405C" w:rsidRPr="00187BAA" w:rsidRDefault="00B811D3" w:rsidP="00B811D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811D3">
              <w:rPr>
                <w:rFonts w:ascii="宋体" w:eastAsia="宋体" w:hAnsi="Times New Roman" w:hint="eastAsia"/>
                <w:b/>
                <w:color w:val="000000"/>
                <w:sz w:val="48"/>
              </w:rPr>
              <w:t>黄婷婷</w:t>
            </w:r>
            <w:bookmarkEnd w:id="0"/>
          </w:p>
          <w:p w14:paraId="706EB16B" w14:textId="368A731C" w:rsidR="0049405C" w:rsidRPr="00187BAA" w:rsidRDefault="00B811D3" w:rsidP="00B811D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811D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786ECD2A" w:rsidR="0049405C" w:rsidRPr="00187BAA" w:rsidRDefault="00B811D3" w:rsidP="00B811D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811D3">
              <w:rPr>
                <w:rFonts w:ascii="宋体" w:eastAsia="宋体" w:hAnsi="Times New Roman"/>
                <w:color w:val="000000"/>
              </w:rPr>
              <w:t>+86 21 6263 5842</w:t>
            </w:r>
            <w:bookmarkEnd w:id="3"/>
          </w:p>
          <w:p w14:paraId="4F910ACA" w14:textId="4DC1B5D9" w:rsidR="0049405C" w:rsidRPr="00187BAA" w:rsidRDefault="00B811D3" w:rsidP="00B811D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811D3">
              <w:rPr>
                <w:rFonts w:ascii="宋体" w:eastAsia="宋体" w:hAnsi="Times New Roman"/>
                <w:color w:val="000000"/>
              </w:rPr>
              <w:t xml:space="preserve">tingting.huang@fangdalaw.com 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ECD2014" w:rsidR="0049405C" w:rsidRPr="00187BAA" w:rsidRDefault="00B811D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54877D" wp14:editId="592A752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36A42D8" w:rsidR="009465FB" w:rsidRPr="00187BAA" w:rsidRDefault="00B811D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811D3">
              <w:rPr>
                <w:rFonts w:ascii="宋体" w:eastAsia="宋体" w:hAnsi="Times New Roman" w:hint="eastAsia"/>
                <w:color w:val="000000"/>
                <w:szCs w:val="21"/>
              </w:rPr>
              <w:t>黄婷婷律师的主要执业领域为收购与兼并、私募融资、外商直接投资和公司事务。</w:t>
            </w:r>
            <w:r w:rsidRPr="00B811D3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BE44914" w14:textId="77777777" w:rsidR="00B811D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EABA4FF" w14:textId="77777777" w:rsidR="00B811D3" w:rsidRDefault="00B811D3" w:rsidP="00B811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11D3">
        <w:rPr>
          <w:rFonts w:ascii="宋体" w:eastAsia="宋体" w:hAnsi="宋体" w:hint="eastAsia"/>
          <w:b/>
          <w:sz w:val="24"/>
        </w:rPr>
        <w:t>近期代理的主要案件</w:t>
      </w:r>
    </w:p>
    <w:p w14:paraId="3790A8C3" w14:textId="77777777" w:rsidR="00B811D3" w:rsidRDefault="00B811D3" w:rsidP="00B811D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F97FD6C" w14:textId="77777777" w:rsidR="00B811D3" w:rsidRDefault="00B811D3" w:rsidP="00B811D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代表欧洲基金</w:t>
      </w:r>
      <w:r w:rsidRPr="00B811D3">
        <w:rPr>
          <w:rFonts w:ascii="宋体" w:eastAsia="宋体" w:hAnsi="Times New Roman"/>
          <w:color w:val="000000"/>
        </w:rPr>
        <w:t>Partners Group收购全球物流服务提供商Apex Logistics的24.9%的股权</w:t>
      </w:r>
    </w:p>
    <w:p w14:paraId="4275E97B" w14:textId="77777777" w:rsidR="00B811D3" w:rsidRDefault="00B811D3" w:rsidP="00B811D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</w:t>
      </w:r>
      <w:r w:rsidRPr="00B811D3">
        <w:rPr>
          <w:rFonts w:ascii="宋体" w:eastAsia="宋体" w:hAnsi="Times New Roman"/>
          <w:color w:val="000000"/>
        </w:rPr>
        <w:t>PAG收购先尼科化工(一家有机颜料行业龙头企业)的控股股权</w:t>
      </w:r>
    </w:p>
    <w:p w14:paraId="6AF2072D" w14:textId="77777777" w:rsidR="00B811D3" w:rsidRDefault="00B811D3" w:rsidP="00B811D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代表今翊资本收购一家国际货运代理企业</w:t>
      </w:r>
    </w:p>
    <w:p w14:paraId="383C5B18" w14:textId="77777777" w:rsidR="00B811D3" w:rsidRDefault="00B811D3" w:rsidP="00B811D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代表欧洲基金</w:t>
      </w:r>
      <w:r w:rsidRPr="00B811D3">
        <w:rPr>
          <w:rFonts w:ascii="宋体" w:eastAsia="宋体" w:hAnsi="Times New Roman"/>
          <w:color w:val="000000"/>
        </w:rPr>
        <w:t>Partners Group收购零售展示设备供应商BCR(邦全)多数股权以及其附加收购</w:t>
      </w:r>
    </w:p>
    <w:p w14:paraId="4C363790" w14:textId="77777777" w:rsidR="00B811D3" w:rsidRDefault="00B811D3" w:rsidP="00B811D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</w:t>
      </w:r>
      <w:r w:rsidRPr="00B811D3">
        <w:rPr>
          <w:rFonts w:ascii="宋体" w:eastAsia="宋体" w:hAnsi="Times New Roman"/>
          <w:color w:val="000000"/>
        </w:rPr>
        <w:t>Spirit Aero Systems与西子航空在杭州设立合资公司</w:t>
      </w:r>
    </w:p>
    <w:p w14:paraId="0D876A0D" w14:textId="77777777" w:rsidR="00B811D3" w:rsidRDefault="00B811D3" w:rsidP="00B811D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代表屈臣氏旗下百佳超市与永辉、腾讯成立合资公司</w:t>
      </w:r>
    </w:p>
    <w:p w14:paraId="2E8C1C20" w14:textId="77777777" w:rsidR="00B811D3" w:rsidRDefault="00B811D3" w:rsidP="00B811D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</w:t>
      </w:r>
      <w:r w:rsidRPr="00B811D3">
        <w:rPr>
          <w:rFonts w:ascii="宋体" w:eastAsia="宋体" w:hAnsi="Times New Roman"/>
          <w:color w:val="000000"/>
        </w:rPr>
        <w:t>Blackstone收购一家化妆品包装制造商</w:t>
      </w:r>
    </w:p>
    <w:p w14:paraId="1E627064" w14:textId="77777777" w:rsidR="00B811D3" w:rsidRDefault="00B811D3" w:rsidP="00B811D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代表睿智化学，一家科研外包服务机构，就量子高科发行股份及支付现金收购其股权提供法律服务</w:t>
      </w:r>
    </w:p>
    <w:p w14:paraId="59CA3B4F" w14:textId="77777777" w:rsidR="00B811D3" w:rsidRDefault="00B811D3" w:rsidP="00B811D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代表微创医疗对以色列企业</w:t>
      </w:r>
      <w:r w:rsidRPr="00B811D3">
        <w:rPr>
          <w:rFonts w:ascii="宋体" w:eastAsia="宋体" w:hAnsi="Times New Roman"/>
          <w:color w:val="000000"/>
        </w:rPr>
        <w:t>Rapid的投资</w:t>
      </w:r>
    </w:p>
    <w:p w14:paraId="0C5D7392" w14:textId="77777777" w:rsidR="00B811D3" w:rsidRDefault="00B811D3" w:rsidP="00B811D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</w:t>
      </w:r>
      <w:r w:rsidRPr="00B811D3">
        <w:rPr>
          <w:rFonts w:ascii="宋体" w:eastAsia="宋体" w:hAnsi="Times New Roman"/>
          <w:color w:val="000000"/>
        </w:rPr>
        <w:t>Farfetch收购Curiosity Group</w:t>
      </w:r>
    </w:p>
    <w:p w14:paraId="0966848D" w14:textId="77777777" w:rsidR="00B811D3" w:rsidRDefault="00B811D3" w:rsidP="00B811D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代表微创医疗集团旗下企业一系列股权融资项目</w:t>
      </w:r>
    </w:p>
    <w:p w14:paraId="2CB7AD65" w14:textId="77777777" w:rsidR="00B811D3" w:rsidRDefault="00B811D3" w:rsidP="00B811D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</w:t>
      </w:r>
      <w:r w:rsidRPr="00B811D3">
        <w:rPr>
          <w:rFonts w:ascii="宋体" w:eastAsia="宋体" w:hAnsi="Times New Roman"/>
          <w:color w:val="000000"/>
        </w:rPr>
        <w:t>MicroPort(微创医疗)收购阿格斯医疗(一家医疗器械公司)的控股股权</w:t>
      </w:r>
    </w:p>
    <w:p w14:paraId="64662C03" w14:textId="77777777" w:rsidR="00B811D3" w:rsidRDefault="00B811D3" w:rsidP="00B811D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代表大钲资本、中信资本及其他买方团私有化泰邦生物集团公司</w:t>
      </w:r>
      <w:r w:rsidRPr="00B811D3">
        <w:rPr>
          <w:rFonts w:ascii="宋体" w:eastAsia="宋体" w:hAnsi="Times New Roman"/>
          <w:color w:val="000000"/>
        </w:rPr>
        <w:t>(China Biologic Products, Inc., 纳斯达克：CBPO) (被评为《国际金融法律评论》亚太地区年度私募股权交易大奖)</w:t>
      </w:r>
    </w:p>
    <w:p w14:paraId="3BD557B0" w14:textId="77777777" w:rsidR="00B811D3" w:rsidRDefault="00B811D3" w:rsidP="00B811D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代表空气化工资产收购一家位于山西的工业气体生产企业</w:t>
      </w:r>
    </w:p>
    <w:p w14:paraId="198FC7BC" w14:textId="77777777" w:rsidR="00B811D3" w:rsidRDefault="00B811D3" w:rsidP="00B811D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代表云锋基金及买方财团收购并私有化美股上市公司爱康国宾</w:t>
      </w:r>
    </w:p>
    <w:p w14:paraId="48B80F32" w14:textId="77777777" w:rsidR="00B811D3" w:rsidRDefault="00B811D3" w:rsidP="00B811D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代表高瓴投资一家</w:t>
      </w:r>
      <w:r w:rsidRPr="00B811D3">
        <w:rPr>
          <w:rFonts w:ascii="宋体" w:eastAsia="宋体" w:hAnsi="Times New Roman"/>
          <w:color w:val="000000"/>
        </w:rPr>
        <w:t>CAR-T产品研发企业</w:t>
      </w:r>
    </w:p>
    <w:p w14:paraId="1D69BCBA" w14:textId="77777777" w:rsidR="00B811D3" w:rsidRDefault="00B811D3" w:rsidP="00B811D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</w:t>
      </w:r>
      <w:r w:rsidRPr="00B811D3">
        <w:rPr>
          <w:rFonts w:ascii="宋体" w:eastAsia="宋体" w:hAnsi="Times New Roman"/>
          <w:color w:val="000000"/>
        </w:rPr>
        <w:t>TPG参与上海爱科百发生物医药技术有限公司的D轮股权投资</w:t>
      </w:r>
    </w:p>
    <w:p w14:paraId="645FAFBF" w14:textId="77777777" w:rsidR="00B811D3" w:rsidRDefault="00B811D3" w:rsidP="00B811D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代表阿里巴巴投资入股一家领先新零售企业</w:t>
      </w:r>
    </w:p>
    <w:p w14:paraId="2DBA84B1" w14:textId="77777777" w:rsidR="00B811D3" w:rsidRDefault="00B811D3" w:rsidP="00B811D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代表阿里巴巴投资入股北京居然之家家居连锁集团有限公司</w:t>
      </w:r>
    </w:p>
    <w:p w14:paraId="3CA85B84" w14:textId="77777777" w:rsidR="00B811D3" w:rsidRDefault="00B811D3" w:rsidP="00B811D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代表蚂蚁金服投资一家领先汽车服务公司</w:t>
      </w:r>
    </w:p>
    <w:p w14:paraId="1ECD9BA3" w14:textId="77777777" w:rsidR="00B811D3" w:rsidRDefault="00B811D3" w:rsidP="00B811D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代表蚂蚁金服投资财税企业诺诺</w:t>
      </w:r>
    </w:p>
    <w:p w14:paraId="10FC9318" w14:textId="77777777" w:rsidR="00B811D3" w:rsidRDefault="00B811D3" w:rsidP="00B811D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代表蚂蚁金服投资</w:t>
      </w:r>
      <w:r w:rsidRPr="00B811D3">
        <w:rPr>
          <w:rFonts w:ascii="宋体" w:eastAsia="宋体" w:hAnsi="Times New Roman"/>
          <w:color w:val="000000"/>
        </w:rPr>
        <w:t>EPC发行企业信联科技</w:t>
      </w:r>
    </w:p>
    <w:p w14:paraId="56C748EE" w14:textId="77777777" w:rsidR="00B811D3" w:rsidRDefault="00B811D3" w:rsidP="00B811D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代表镁信</w:t>
      </w:r>
      <w:r w:rsidRPr="00B811D3">
        <w:rPr>
          <w:rFonts w:ascii="宋体" w:eastAsia="宋体" w:hAnsi="Times New Roman"/>
          <w:color w:val="000000"/>
        </w:rPr>
        <w:t>(一家创新型医疗健康服务平台)就其金额为20亿元人民币的融资交易提供法律服务</w:t>
      </w:r>
    </w:p>
    <w:p w14:paraId="09450F4B" w14:textId="77777777" w:rsidR="00B811D3" w:rsidRDefault="00B811D3" w:rsidP="00B811D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代表百威英博投资酒类企业贝瑞甜心</w:t>
      </w:r>
    </w:p>
    <w:p w14:paraId="5F024677" w14:textId="77777777" w:rsidR="00B811D3" w:rsidRDefault="00B811D3" w:rsidP="00B811D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</w:t>
      </w:r>
      <w:r w:rsidRPr="00B811D3">
        <w:rPr>
          <w:rFonts w:ascii="宋体" w:eastAsia="宋体" w:hAnsi="Times New Roman"/>
          <w:color w:val="000000"/>
        </w:rPr>
        <w:t>CPE源峰投资三顿半</w:t>
      </w:r>
    </w:p>
    <w:p w14:paraId="795C3FC8" w14:textId="77777777" w:rsidR="00B811D3" w:rsidRDefault="00B811D3" w:rsidP="00B811D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代表高瓴就其对一系列芯片公司的投资提供法律服务，包括星思、星云、韬润及芯迈等企业。</w:t>
      </w:r>
    </w:p>
    <w:p w14:paraId="257ACA4B" w14:textId="77777777" w:rsidR="00B811D3" w:rsidRDefault="00B811D3" w:rsidP="00B811D3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中金资本、中信资本、正心谷、康桥资本、弘晖资本、光大基金、辰德资本及其他市场知名基金少数股权投资一系列生物医药企业（包括新药及医疗器械的研发、生产、销售企业，医疗服务提供企业及医疗科技领域企业）</w:t>
      </w:r>
    </w:p>
    <w:p w14:paraId="02465974" w14:textId="77777777" w:rsidR="00B811D3" w:rsidRDefault="00B811D3" w:rsidP="00B811D3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代表远东宏信香港证券交易所上市项目保荐人</w:t>
      </w:r>
    </w:p>
    <w:p w14:paraId="3D88B1EC" w14:textId="77777777" w:rsidR="00B811D3" w:rsidRDefault="00B811D3" w:rsidP="00B811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11D3">
        <w:rPr>
          <w:rFonts w:ascii="宋体" w:eastAsia="宋体" w:hAnsi="宋体" w:hint="eastAsia"/>
          <w:b/>
          <w:sz w:val="24"/>
        </w:rPr>
        <w:t>教育背景</w:t>
      </w:r>
    </w:p>
    <w:p w14:paraId="4E2FBE37" w14:textId="77777777" w:rsidR="00B811D3" w:rsidRDefault="00B811D3" w:rsidP="00B811D3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华东政法大学，法学学士，文学学士</w:t>
      </w:r>
    </w:p>
    <w:p w14:paraId="38DB0F22" w14:textId="77777777" w:rsidR="00B811D3" w:rsidRDefault="00B811D3" w:rsidP="00B811D3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华东政法大学，法学硕士</w:t>
      </w:r>
    </w:p>
    <w:p w14:paraId="3E69F451" w14:textId="77777777" w:rsidR="00B811D3" w:rsidRDefault="00B811D3" w:rsidP="00B811D3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芝加哥大学，法学硕士</w:t>
      </w:r>
    </w:p>
    <w:p w14:paraId="7DDB4803" w14:textId="77777777" w:rsidR="00B811D3" w:rsidRDefault="00B811D3" w:rsidP="00B811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11D3">
        <w:rPr>
          <w:rFonts w:ascii="宋体" w:eastAsia="宋体" w:hAnsi="宋体" w:hint="eastAsia"/>
          <w:b/>
          <w:sz w:val="24"/>
        </w:rPr>
        <w:t>执业资格</w:t>
      </w:r>
    </w:p>
    <w:p w14:paraId="72483F2B" w14:textId="77777777" w:rsidR="00B811D3" w:rsidRDefault="00B811D3" w:rsidP="00B811D3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中华人民共和国执业律师</w:t>
      </w:r>
    </w:p>
    <w:p w14:paraId="60E4EF5E" w14:textId="77777777" w:rsidR="00B811D3" w:rsidRDefault="00B811D3" w:rsidP="00B811D3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通过美国纽约州律师资格考试</w:t>
      </w:r>
    </w:p>
    <w:p w14:paraId="02865288" w14:textId="77777777" w:rsidR="00B811D3" w:rsidRDefault="00B811D3" w:rsidP="00B811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11D3">
        <w:rPr>
          <w:rFonts w:ascii="宋体" w:eastAsia="宋体" w:hAnsi="宋体" w:hint="eastAsia"/>
          <w:b/>
          <w:sz w:val="24"/>
        </w:rPr>
        <w:t>职业背景</w:t>
      </w:r>
    </w:p>
    <w:p w14:paraId="4F0A196B" w14:textId="344DA8B7" w:rsidR="00A46A04" w:rsidRPr="00B811D3" w:rsidRDefault="00B811D3" w:rsidP="00B811D3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11D3">
        <w:rPr>
          <w:rFonts w:ascii="宋体" w:eastAsia="宋体" w:hAnsi="Times New Roman" w:hint="eastAsia"/>
          <w:color w:val="000000"/>
        </w:rPr>
        <w:t>黄婷婷律师于</w:t>
      </w:r>
      <w:r w:rsidRPr="00B811D3">
        <w:rPr>
          <w:rFonts w:ascii="宋体" w:eastAsia="宋体" w:hAnsi="Times New Roman"/>
          <w:color w:val="000000"/>
        </w:rPr>
        <w:t>2017年加入方达律师事务所。</w:t>
      </w:r>
    </w:p>
    <w:sectPr w:rsidR="00A46A04" w:rsidRPr="00B811D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73CD"/>
    <w:multiLevelType w:val="singleLevel"/>
    <w:tmpl w:val="5F686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E71052"/>
    <w:multiLevelType w:val="singleLevel"/>
    <w:tmpl w:val="5F42C2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53172A"/>
    <w:multiLevelType w:val="singleLevel"/>
    <w:tmpl w:val="51106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D466DF"/>
    <w:multiLevelType w:val="singleLevel"/>
    <w:tmpl w:val="DB329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E15475"/>
    <w:multiLevelType w:val="singleLevel"/>
    <w:tmpl w:val="1BFA8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C7127D"/>
    <w:multiLevelType w:val="singleLevel"/>
    <w:tmpl w:val="1DFCA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B54A56"/>
    <w:multiLevelType w:val="singleLevel"/>
    <w:tmpl w:val="9F1C5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EF0528"/>
    <w:multiLevelType w:val="singleLevel"/>
    <w:tmpl w:val="FF8A1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59336D"/>
    <w:multiLevelType w:val="singleLevel"/>
    <w:tmpl w:val="8040A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CF57FA"/>
    <w:multiLevelType w:val="singleLevel"/>
    <w:tmpl w:val="07F801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AC81F2A"/>
    <w:multiLevelType w:val="singleLevel"/>
    <w:tmpl w:val="F3F82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B2929BF"/>
    <w:multiLevelType w:val="singleLevel"/>
    <w:tmpl w:val="DE786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AA4AEF"/>
    <w:multiLevelType w:val="singleLevel"/>
    <w:tmpl w:val="C9847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7FD42B0"/>
    <w:multiLevelType w:val="singleLevel"/>
    <w:tmpl w:val="326EF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A2E55FA"/>
    <w:multiLevelType w:val="singleLevel"/>
    <w:tmpl w:val="85BCE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8112D78"/>
    <w:multiLevelType w:val="singleLevel"/>
    <w:tmpl w:val="023CF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A5C2E40"/>
    <w:multiLevelType w:val="singleLevel"/>
    <w:tmpl w:val="F6908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CA53F63"/>
    <w:multiLevelType w:val="singleLevel"/>
    <w:tmpl w:val="449A5F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F8279E"/>
    <w:multiLevelType w:val="singleLevel"/>
    <w:tmpl w:val="B12C8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B24437"/>
    <w:multiLevelType w:val="singleLevel"/>
    <w:tmpl w:val="290AE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74C79B6"/>
    <w:multiLevelType w:val="singleLevel"/>
    <w:tmpl w:val="C9CE6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AEA2B3D"/>
    <w:multiLevelType w:val="singleLevel"/>
    <w:tmpl w:val="2F08A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0DB35E8"/>
    <w:multiLevelType w:val="singleLevel"/>
    <w:tmpl w:val="6018E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0C2E1E"/>
    <w:multiLevelType w:val="singleLevel"/>
    <w:tmpl w:val="75105B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957B9F"/>
    <w:multiLevelType w:val="singleLevel"/>
    <w:tmpl w:val="336AB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AD91152"/>
    <w:multiLevelType w:val="singleLevel"/>
    <w:tmpl w:val="DCF66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D1F41A8"/>
    <w:multiLevelType w:val="singleLevel"/>
    <w:tmpl w:val="56C4F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D264195"/>
    <w:multiLevelType w:val="singleLevel"/>
    <w:tmpl w:val="45BEE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FBF7194"/>
    <w:multiLevelType w:val="singleLevel"/>
    <w:tmpl w:val="52585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5745A88"/>
    <w:multiLevelType w:val="singleLevel"/>
    <w:tmpl w:val="449A5F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6616DC9"/>
    <w:multiLevelType w:val="singleLevel"/>
    <w:tmpl w:val="B2C6F8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A2B5429"/>
    <w:multiLevelType w:val="singleLevel"/>
    <w:tmpl w:val="F07EA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CAC5D9D"/>
    <w:multiLevelType w:val="singleLevel"/>
    <w:tmpl w:val="1B9460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EA617E0"/>
    <w:multiLevelType w:val="singleLevel"/>
    <w:tmpl w:val="37DC5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B8B613A"/>
    <w:multiLevelType w:val="singleLevel"/>
    <w:tmpl w:val="59080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8"/>
  </w:num>
  <w:num w:numId="3">
    <w:abstractNumId w:val="14"/>
  </w:num>
  <w:num w:numId="4">
    <w:abstractNumId w:val="4"/>
  </w:num>
  <w:num w:numId="5">
    <w:abstractNumId w:val="28"/>
  </w:num>
  <w:num w:numId="6">
    <w:abstractNumId w:val="7"/>
  </w:num>
  <w:num w:numId="7">
    <w:abstractNumId w:val="0"/>
  </w:num>
  <w:num w:numId="8">
    <w:abstractNumId w:val="10"/>
  </w:num>
  <w:num w:numId="9">
    <w:abstractNumId w:val="26"/>
  </w:num>
  <w:num w:numId="10">
    <w:abstractNumId w:val="3"/>
  </w:num>
  <w:num w:numId="11">
    <w:abstractNumId w:val="5"/>
  </w:num>
  <w:num w:numId="12">
    <w:abstractNumId w:val="29"/>
  </w:num>
  <w:num w:numId="13">
    <w:abstractNumId w:val="23"/>
  </w:num>
  <w:num w:numId="14">
    <w:abstractNumId w:val="34"/>
  </w:num>
  <w:num w:numId="15">
    <w:abstractNumId w:val="25"/>
  </w:num>
  <w:num w:numId="16">
    <w:abstractNumId w:val="16"/>
  </w:num>
  <w:num w:numId="17">
    <w:abstractNumId w:val="24"/>
  </w:num>
  <w:num w:numId="18">
    <w:abstractNumId w:val="1"/>
  </w:num>
  <w:num w:numId="19">
    <w:abstractNumId w:val="21"/>
  </w:num>
  <w:num w:numId="20">
    <w:abstractNumId w:val="27"/>
  </w:num>
  <w:num w:numId="21">
    <w:abstractNumId w:val="2"/>
  </w:num>
  <w:num w:numId="22">
    <w:abstractNumId w:val="22"/>
  </w:num>
  <w:num w:numId="23">
    <w:abstractNumId w:val="35"/>
  </w:num>
  <w:num w:numId="24">
    <w:abstractNumId w:val="13"/>
  </w:num>
  <w:num w:numId="25">
    <w:abstractNumId w:val="32"/>
  </w:num>
  <w:num w:numId="26">
    <w:abstractNumId w:val="36"/>
  </w:num>
  <w:num w:numId="27">
    <w:abstractNumId w:val="33"/>
  </w:num>
  <w:num w:numId="28">
    <w:abstractNumId w:val="9"/>
  </w:num>
  <w:num w:numId="29">
    <w:abstractNumId w:val="8"/>
  </w:num>
  <w:num w:numId="30">
    <w:abstractNumId w:val="6"/>
  </w:num>
  <w:num w:numId="31">
    <w:abstractNumId w:val="11"/>
  </w:num>
  <w:num w:numId="32">
    <w:abstractNumId w:val="17"/>
  </w:num>
  <w:num w:numId="33">
    <w:abstractNumId w:val="30"/>
  </w:num>
  <w:num w:numId="34">
    <w:abstractNumId w:val="20"/>
  </w:num>
  <w:num w:numId="35">
    <w:abstractNumId w:val="12"/>
  </w:num>
  <w:num w:numId="36">
    <w:abstractNumId w:val="19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11D3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811D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811D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7E4706-3733-4161-9537-A91025D8C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2026-04-29T18:54:00Z</dcterms:created>
  <dcterms:modified xsi:type="dcterms:W3CDTF">2026-04-29T18:54:00Z</dcterms:modified>
</cp:coreProperties>
</file>